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pPr w:leftFromText="180" w:rightFromText="180" w:vertAnchor="page" w:horzAnchor="margin" w:tblpY="15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2485"/>
        <w:gridCol w:w="872"/>
        <w:gridCol w:w="2286"/>
        <w:gridCol w:w="2563"/>
      </w:tblGrid>
      <w:tr w:rsidR="00682E0E" w:rsidRPr="00F960B6" w:rsidTr="00682E0E">
        <w:tc>
          <w:tcPr>
            <w:tcW w:w="3369" w:type="dxa"/>
            <w:gridSpan w:val="2"/>
            <w:vAlign w:val="center"/>
          </w:tcPr>
          <w:p w:rsidR="00682E0E" w:rsidRPr="00580819" w:rsidRDefault="00682E0E" w:rsidP="00682E0E">
            <w:pPr>
              <w:jc w:val="center"/>
              <w:rPr>
                <w:rFonts w:ascii="Times New Roman" w:hAnsi="Times New Roman" w:cs="Times New Roman"/>
                <w:sz w:val="20"/>
                <w:szCs w:val="20"/>
              </w:rPr>
            </w:pPr>
            <w:bookmarkStart w:id="0" w:name="_GoBack"/>
            <w:bookmarkEnd w:id="0"/>
            <w:r w:rsidRPr="00580819">
              <w:rPr>
                <w:rFonts w:ascii="Times New Roman" w:hAnsi="Times New Roman" w:cs="Times New Roman"/>
                <w:sz w:val="20"/>
                <w:szCs w:val="20"/>
              </w:rPr>
              <w:t>REPUBLIKA HRVATSKA</w:t>
            </w:r>
          </w:p>
          <w:p w:rsidR="00682E0E" w:rsidRPr="00580819" w:rsidRDefault="00682E0E" w:rsidP="00580819">
            <w:pPr>
              <w:jc w:val="center"/>
              <w:rPr>
                <w:rFonts w:ascii="Times New Roman" w:hAnsi="Times New Roman" w:cs="Times New Roman"/>
                <w:sz w:val="20"/>
                <w:szCs w:val="20"/>
              </w:rPr>
            </w:pPr>
            <w:r w:rsidRPr="00580819">
              <w:rPr>
                <w:rFonts w:ascii="Times New Roman" w:hAnsi="Times New Roman" w:cs="Times New Roman"/>
                <w:sz w:val="20"/>
                <w:szCs w:val="20"/>
              </w:rPr>
              <w:t>OSJEČKO BARANJSKA</w:t>
            </w:r>
            <w:r w:rsidR="00580819" w:rsidRPr="00580819">
              <w:rPr>
                <w:rFonts w:ascii="Times New Roman" w:hAnsi="Times New Roman" w:cs="Times New Roman"/>
                <w:sz w:val="20"/>
                <w:szCs w:val="20"/>
              </w:rPr>
              <w:t xml:space="preserve"> ŽUPANIJ</w:t>
            </w:r>
            <w:r w:rsidR="00580819">
              <w:rPr>
                <w:rFonts w:ascii="Times New Roman" w:hAnsi="Times New Roman" w:cs="Times New Roman"/>
                <w:sz w:val="20"/>
                <w:szCs w:val="20"/>
              </w:rPr>
              <w:t xml:space="preserve">A </w:t>
            </w:r>
          </w:p>
        </w:tc>
        <w:tc>
          <w:tcPr>
            <w:tcW w:w="883" w:type="dxa"/>
          </w:tcPr>
          <w:p w:rsidR="00682E0E" w:rsidRDefault="00682E0E" w:rsidP="00682E0E">
            <w:pPr>
              <w:rPr>
                <w:rFonts w:ascii="Times New Roman" w:hAnsi="Times New Roman" w:cs="Times New Roman"/>
              </w:rPr>
            </w:pPr>
          </w:p>
          <w:p w:rsidR="00580819" w:rsidRPr="00F960B6" w:rsidRDefault="00580819"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F960B6" w:rsidTr="00580819">
        <w:trPr>
          <w:trHeight w:val="80"/>
        </w:trPr>
        <w:tc>
          <w:tcPr>
            <w:tcW w:w="3369" w:type="dxa"/>
            <w:gridSpan w:val="2"/>
            <w:vAlign w:val="center"/>
          </w:tcPr>
          <w:p w:rsidR="00682E0E" w:rsidRPr="00F960B6" w:rsidRDefault="00682E0E" w:rsidP="00682E0E">
            <w:pPr>
              <w:rPr>
                <w:rFonts w:ascii="Times New Roman" w:hAnsi="Times New Roman" w:cs="Times New Roman"/>
              </w:rPr>
            </w:pPr>
          </w:p>
        </w:tc>
        <w:tc>
          <w:tcPr>
            <w:tcW w:w="883" w:type="dxa"/>
          </w:tcPr>
          <w:p w:rsidR="00682E0E" w:rsidRPr="00F960B6" w:rsidRDefault="00682E0E"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F960B6" w:rsidTr="00682E0E">
        <w:tc>
          <w:tcPr>
            <w:tcW w:w="3369" w:type="dxa"/>
            <w:gridSpan w:val="2"/>
            <w:vAlign w:val="center"/>
          </w:tcPr>
          <w:p w:rsidR="00682E0E" w:rsidRPr="00580819" w:rsidRDefault="00580819" w:rsidP="00682E0E">
            <w:pPr>
              <w:rPr>
                <w:rFonts w:ascii="Times New Roman" w:hAnsi="Times New Roman" w:cs="Times New Roman"/>
                <w:b/>
              </w:rPr>
            </w:pPr>
            <w:r w:rsidRPr="00580819">
              <w:rPr>
                <w:rFonts w:ascii="Times New Roman" w:hAnsi="Times New Roman" w:cs="Times New Roman"/>
                <w:b/>
              </w:rPr>
              <w:t>OŠ „VLADIMIR NAZOR</w:t>
            </w:r>
            <w:r w:rsidR="00682E0E" w:rsidRPr="00580819">
              <w:rPr>
                <w:rFonts w:ascii="Times New Roman" w:hAnsi="Times New Roman" w:cs="Times New Roman"/>
                <w:b/>
              </w:rPr>
              <w:t xml:space="preserve"> „</w:t>
            </w:r>
          </w:p>
          <w:p w:rsidR="00682E0E" w:rsidRPr="00F960B6" w:rsidRDefault="00682E0E" w:rsidP="00682E0E">
            <w:pPr>
              <w:rPr>
                <w:rFonts w:ascii="Times New Roman" w:hAnsi="Times New Roman" w:cs="Times New Roman"/>
              </w:rPr>
            </w:pPr>
            <w:r w:rsidRPr="00F960B6">
              <w:rPr>
                <w:rFonts w:ascii="Times New Roman" w:hAnsi="Times New Roman" w:cs="Times New Roman"/>
              </w:rPr>
              <w:t>Đakovo, Kralja Tomislava 18</w:t>
            </w:r>
          </w:p>
        </w:tc>
        <w:tc>
          <w:tcPr>
            <w:tcW w:w="883" w:type="dxa"/>
          </w:tcPr>
          <w:p w:rsidR="00682E0E" w:rsidRPr="00F960B6" w:rsidRDefault="00682E0E"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F960B6" w:rsidTr="00682E0E">
        <w:tc>
          <w:tcPr>
            <w:tcW w:w="854" w:type="dxa"/>
          </w:tcPr>
          <w:p w:rsidR="00682E0E" w:rsidRPr="00F960B6" w:rsidRDefault="00682E0E" w:rsidP="00682E0E">
            <w:pPr>
              <w:rPr>
                <w:rFonts w:ascii="Times New Roman" w:hAnsi="Times New Roman" w:cs="Times New Roman"/>
              </w:rPr>
            </w:pPr>
            <w:r w:rsidRPr="00F960B6">
              <w:rPr>
                <w:rFonts w:ascii="Times New Roman" w:hAnsi="Times New Roman" w:cs="Times New Roman"/>
              </w:rPr>
              <w:t>Klasa:</w:t>
            </w:r>
          </w:p>
        </w:tc>
        <w:tc>
          <w:tcPr>
            <w:tcW w:w="2515" w:type="dxa"/>
          </w:tcPr>
          <w:p w:rsidR="00682E0E" w:rsidRPr="00F960B6" w:rsidRDefault="00682E0E" w:rsidP="00682E0E">
            <w:pPr>
              <w:rPr>
                <w:rFonts w:ascii="Times New Roman" w:hAnsi="Times New Roman" w:cs="Times New Roman"/>
              </w:rPr>
            </w:pPr>
            <w:r w:rsidRPr="00F960B6">
              <w:rPr>
                <w:rFonts w:ascii="Times New Roman" w:hAnsi="Times New Roman" w:cs="Times New Roman"/>
              </w:rPr>
              <w:t>602-01/14-01/</w:t>
            </w:r>
            <w:r w:rsidR="00480641">
              <w:rPr>
                <w:rFonts w:ascii="Times New Roman" w:hAnsi="Times New Roman" w:cs="Times New Roman"/>
              </w:rPr>
              <w:t>204</w:t>
            </w:r>
          </w:p>
        </w:tc>
        <w:tc>
          <w:tcPr>
            <w:tcW w:w="883" w:type="dxa"/>
          </w:tcPr>
          <w:p w:rsidR="00682E0E" w:rsidRPr="00F960B6" w:rsidRDefault="00682E0E"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F960B6" w:rsidTr="00682E0E">
        <w:tc>
          <w:tcPr>
            <w:tcW w:w="854" w:type="dxa"/>
          </w:tcPr>
          <w:p w:rsidR="00682E0E" w:rsidRPr="00F960B6" w:rsidRDefault="00682E0E" w:rsidP="00682E0E">
            <w:pPr>
              <w:rPr>
                <w:rFonts w:ascii="Times New Roman" w:hAnsi="Times New Roman" w:cs="Times New Roman"/>
              </w:rPr>
            </w:pPr>
            <w:proofErr w:type="spellStart"/>
            <w:r w:rsidRPr="00F960B6">
              <w:rPr>
                <w:rFonts w:ascii="Times New Roman" w:hAnsi="Times New Roman" w:cs="Times New Roman"/>
              </w:rPr>
              <w:t>Urbroj</w:t>
            </w:r>
            <w:proofErr w:type="spellEnd"/>
            <w:r w:rsidRPr="00F960B6">
              <w:rPr>
                <w:rFonts w:ascii="Times New Roman" w:hAnsi="Times New Roman" w:cs="Times New Roman"/>
              </w:rPr>
              <w:t>:</w:t>
            </w:r>
          </w:p>
        </w:tc>
        <w:tc>
          <w:tcPr>
            <w:tcW w:w="2515" w:type="dxa"/>
          </w:tcPr>
          <w:p w:rsidR="00682E0E" w:rsidRPr="00F960B6" w:rsidRDefault="00480641" w:rsidP="00682E0E">
            <w:pPr>
              <w:rPr>
                <w:rFonts w:ascii="Times New Roman" w:hAnsi="Times New Roman" w:cs="Times New Roman"/>
              </w:rPr>
            </w:pPr>
            <w:r>
              <w:rPr>
                <w:rFonts w:ascii="Times New Roman" w:hAnsi="Times New Roman" w:cs="Times New Roman"/>
              </w:rPr>
              <w:t>2121-15-16</w:t>
            </w:r>
            <w:r w:rsidR="00682E0E" w:rsidRPr="00F960B6">
              <w:rPr>
                <w:rFonts w:ascii="Times New Roman" w:hAnsi="Times New Roman" w:cs="Times New Roman"/>
              </w:rPr>
              <w:t>-</w:t>
            </w:r>
            <w:r>
              <w:rPr>
                <w:rFonts w:ascii="Times New Roman" w:hAnsi="Times New Roman" w:cs="Times New Roman"/>
              </w:rPr>
              <w:t>1</w:t>
            </w:r>
          </w:p>
        </w:tc>
        <w:tc>
          <w:tcPr>
            <w:tcW w:w="883" w:type="dxa"/>
          </w:tcPr>
          <w:p w:rsidR="00682E0E" w:rsidRPr="00F960B6" w:rsidRDefault="00682E0E"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F960B6" w:rsidTr="00682E0E">
        <w:tc>
          <w:tcPr>
            <w:tcW w:w="3369" w:type="dxa"/>
            <w:gridSpan w:val="2"/>
          </w:tcPr>
          <w:p w:rsidR="00682E0E" w:rsidRPr="00F960B6" w:rsidRDefault="0040023B" w:rsidP="0040023B">
            <w:pPr>
              <w:rPr>
                <w:rFonts w:ascii="Times New Roman" w:hAnsi="Times New Roman" w:cs="Times New Roman"/>
              </w:rPr>
            </w:pPr>
            <w:r>
              <w:rPr>
                <w:rFonts w:ascii="Times New Roman" w:hAnsi="Times New Roman" w:cs="Times New Roman"/>
              </w:rPr>
              <w:t>Đakovo, 17</w:t>
            </w:r>
            <w:r w:rsidR="00480641">
              <w:rPr>
                <w:rFonts w:ascii="Times New Roman" w:hAnsi="Times New Roman" w:cs="Times New Roman"/>
              </w:rPr>
              <w:t>.</w:t>
            </w:r>
            <w:r>
              <w:rPr>
                <w:rFonts w:ascii="Times New Roman" w:hAnsi="Times New Roman" w:cs="Times New Roman"/>
              </w:rPr>
              <w:t>1</w:t>
            </w:r>
            <w:r w:rsidR="00682E0E" w:rsidRPr="00F960B6">
              <w:rPr>
                <w:rFonts w:ascii="Times New Roman" w:hAnsi="Times New Roman" w:cs="Times New Roman"/>
              </w:rPr>
              <w:t>0.201</w:t>
            </w:r>
            <w:r>
              <w:rPr>
                <w:rFonts w:ascii="Times New Roman" w:hAnsi="Times New Roman" w:cs="Times New Roman"/>
              </w:rPr>
              <w:t>7</w:t>
            </w:r>
            <w:r w:rsidR="00480641">
              <w:rPr>
                <w:rFonts w:ascii="Times New Roman" w:hAnsi="Times New Roman" w:cs="Times New Roman"/>
              </w:rPr>
              <w:t>.</w:t>
            </w:r>
          </w:p>
        </w:tc>
        <w:tc>
          <w:tcPr>
            <w:tcW w:w="883" w:type="dxa"/>
          </w:tcPr>
          <w:p w:rsidR="00682E0E" w:rsidRPr="00F960B6" w:rsidRDefault="00682E0E"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F960B6" w:rsidTr="00682E0E">
        <w:tc>
          <w:tcPr>
            <w:tcW w:w="3369" w:type="dxa"/>
            <w:gridSpan w:val="2"/>
          </w:tcPr>
          <w:p w:rsidR="00682E0E" w:rsidRPr="00F960B6" w:rsidRDefault="00682E0E" w:rsidP="00682E0E">
            <w:pPr>
              <w:rPr>
                <w:rFonts w:ascii="Times New Roman" w:hAnsi="Times New Roman" w:cs="Times New Roman"/>
              </w:rPr>
            </w:pPr>
          </w:p>
        </w:tc>
        <w:tc>
          <w:tcPr>
            <w:tcW w:w="883" w:type="dxa"/>
          </w:tcPr>
          <w:p w:rsidR="00682E0E" w:rsidRPr="00F960B6" w:rsidRDefault="00682E0E"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bl>
    <w:p w:rsidR="00682E0E" w:rsidRPr="00F960B6" w:rsidRDefault="00682E0E" w:rsidP="00F8434C">
      <w:pPr>
        <w:jc w:val="center"/>
        <w:rPr>
          <w:rFonts w:ascii="Times New Roman" w:hAnsi="Times New Roman" w:cs="Times New Roman"/>
          <w:sz w:val="28"/>
        </w:rPr>
      </w:pPr>
    </w:p>
    <w:p w:rsidR="00250B0F" w:rsidRPr="00F960B6" w:rsidRDefault="00250B0F" w:rsidP="00F8434C">
      <w:pPr>
        <w:jc w:val="center"/>
        <w:rPr>
          <w:rFonts w:ascii="Times New Roman" w:hAnsi="Times New Roman" w:cs="Times New Roman"/>
          <w:sz w:val="28"/>
        </w:rPr>
      </w:pPr>
      <w:r w:rsidRPr="00F960B6">
        <w:rPr>
          <w:rFonts w:ascii="Times New Roman" w:hAnsi="Times New Roman" w:cs="Times New Roman"/>
          <w:sz w:val="28"/>
        </w:rPr>
        <w:t>OBRAZLO</w:t>
      </w:r>
      <w:r w:rsidR="00480641">
        <w:rPr>
          <w:rFonts w:ascii="Times New Roman" w:hAnsi="Times New Roman" w:cs="Times New Roman"/>
          <w:sz w:val="28"/>
        </w:rPr>
        <w:t>ŽENJE FINANCIJSKOG PLANA ZA 201</w:t>
      </w:r>
      <w:r w:rsidR="0040023B">
        <w:rPr>
          <w:rFonts w:ascii="Times New Roman" w:hAnsi="Times New Roman" w:cs="Times New Roman"/>
          <w:sz w:val="28"/>
        </w:rPr>
        <w:t>8</w:t>
      </w:r>
      <w:r w:rsidRPr="00F960B6">
        <w:rPr>
          <w:rFonts w:ascii="Times New Roman" w:hAnsi="Times New Roman" w:cs="Times New Roman"/>
          <w:sz w:val="28"/>
        </w:rPr>
        <w:t xml:space="preserve">. GODINU TE PROJEKCIJA </w:t>
      </w:r>
      <w:r w:rsidR="00F8434C" w:rsidRPr="00F960B6">
        <w:rPr>
          <w:rFonts w:ascii="Times New Roman" w:hAnsi="Times New Roman" w:cs="Times New Roman"/>
          <w:sz w:val="28"/>
        </w:rPr>
        <w:br/>
      </w:r>
      <w:r w:rsidR="00480641">
        <w:rPr>
          <w:rFonts w:ascii="Times New Roman" w:hAnsi="Times New Roman" w:cs="Times New Roman"/>
          <w:sz w:val="28"/>
        </w:rPr>
        <w:t>ZA 201</w:t>
      </w:r>
      <w:r w:rsidR="0040023B">
        <w:rPr>
          <w:rFonts w:ascii="Times New Roman" w:hAnsi="Times New Roman" w:cs="Times New Roman"/>
          <w:sz w:val="28"/>
        </w:rPr>
        <w:t>9. i 2020</w:t>
      </w:r>
      <w:r w:rsidRPr="00F960B6">
        <w:rPr>
          <w:rFonts w:ascii="Times New Roman" w:hAnsi="Times New Roman" w:cs="Times New Roman"/>
          <w:sz w:val="28"/>
        </w:rPr>
        <w:t>. GODINU</w:t>
      </w:r>
    </w:p>
    <w:p w:rsidR="00F8434C" w:rsidRPr="00F960B6" w:rsidRDefault="00F8434C" w:rsidP="00F8434C">
      <w:pPr>
        <w:jc w:val="center"/>
        <w:rPr>
          <w:rFonts w:ascii="Times New Roman" w:hAnsi="Times New Roman" w:cs="Times New Roman"/>
          <w:sz w:val="18"/>
        </w:rPr>
      </w:pPr>
    </w:p>
    <w:p w:rsidR="00250B0F" w:rsidRPr="00F960B6" w:rsidRDefault="00CD71D8" w:rsidP="00250B0F">
      <w:pPr>
        <w:pStyle w:val="Odlomakpopisa"/>
        <w:numPr>
          <w:ilvl w:val="0"/>
          <w:numId w:val="1"/>
        </w:numPr>
        <w:ind w:left="567"/>
        <w:rPr>
          <w:rFonts w:ascii="Times New Roman" w:hAnsi="Times New Roman" w:cs="Times New Roman"/>
        </w:rPr>
      </w:pPr>
      <w:r w:rsidRPr="00F960B6">
        <w:rPr>
          <w:rFonts w:ascii="Times New Roman" w:hAnsi="Times New Roman" w:cs="Times New Roman"/>
          <w:b/>
          <w:sz w:val="24"/>
        </w:rPr>
        <w:t>SAŽETAK DJELOKRUGA RADA ŠKOLE</w:t>
      </w:r>
      <w:r w:rsidR="00F8434C" w:rsidRPr="00F960B6">
        <w:rPr>
          <w:rFonts w:ascii="Times New Roman" w:hAnsi="Times New Roman" w:cs="Times New Roman"/>
        </w:rPr>
        <w:br/>
      </w:r>
      <w:r w:rsidR="00250B0F" w:rsidRPr="00F960B6">
        <w:rPr>
          <w:rFonts w:ascii="Times New Roman" w:hAnsi="Times New Roman" w:cs="Times New Roman"/>
        </w:rPr>
        <w:br/>
      </w:r>
      <w:r w:rsidR="00250B0F" w:rsidRPr="00F960B6">
        <w:rPr>
          <w:rFonts w:ascii="Times New Roman" w:hAnsi="Times New Roman" w:cs="Times New Roman"/>
          <w:sz w:val="24"/>
        </w:rPr>
        <w:t>Nastava je u školi organizirana u jutarnjoj i poslijepodnevnoj smjeni u petodnevnom radnom tjednu sa slobodnim subotama. Nastava se izvodi prema planovima i programima koje je donijelo Ministarstvo znanosti, obrazovanja i športa</w:t>
      </w:r>
      <w:r w:rsidR="009032AB" w:rsidRPr="00F960B6">
        <w:rPr>
          <w:rFonts w:ascii="Times New Roman" w:hAnsi="Times New Roman" w:cs="Times New Roman"/>
          <w:sz w:val="24"/>
        </w:rPr>
        <w:t>, kao i Godišnjem planu i programu škole i Školskom kurikulumu za školsku 201</w:t>
      </w:r>
      <w:r w:rsidR="006F50B9">
        <w:rPr>
          <w:rFonts w:ascii="Times New Roman" w:hAnsi="Times New Roman" w:cs="Times New Roman"/>
          <w:sz w:val="24"/>
        </w:rPr>
        <w:t>7</w:t>
      </w:r>
      <w:r w:rsidR="009032AB" w:rsidRPr="00F960B6">
        <w:rPr>
          <w:rFonts w:ascii="Times New Roman" w:hAnsi="Times New Roman" w:cs="Times New Roman"/>
          <w:sz w:val="24"/>
        </w:rPr>
        <w:t>./201</w:t>
      </w:r>
      <w:r w:rsidR="006F50B9">
        <w:rPr>
          <w:rFonts w:ascii="Times New Roman" w:hAnsi="Times New Roman" w:cs="Times New Roman"/>
          <w:sz w:val="24"/>
        </w:rPr>
        <w:t>8</w:t>
      </w:r>
      <w:r w:rsidR="009032AB" w:rsidRPr="00F960B6">
        <w:rPr>
          <w:rFonts w:ascii="Times New Roman" w:hAnsi="Times New Roman" w:cs="Times New Roman"/>
          <w:sz w:val="24"/>
        </w:rPr>
        <w:t xml:space="preserve">. godinu. Osim redovne nastave, izvodi se izborna nastava iz vjeronauka i informatike, njegovanja mađarskog jezika i kulture u PŠ </w:t>
      </w:r>
      <w:proofErr w:type="spellStart"/>
      <w:r w:rsidR="009032AB" w:rsidRPr="00F960B6">
        <w:rPr>
          <w:rFonts w:ascii="Times New Roman" w:hAnsi="Times New Roman" w:cs="Times New Roman"/>
          <w:sz w:val="24"/>
        </w:rPr>
        <w:t>Ivanovci</w:t>
      </w:r>
      <w:proofErr w:type="spellEnd"/>
      <w:r w:rsidR="009032AB" w:rsidRPr="00F960B6">
        <w:rPr>
          <w:rFonts w:ascii="Times New Roman" w:hAnsi="Times New Roman" w:cs="Times New Roman"/>
          <w:sz w:val="24"/>
        </w:rPr>
        <w:t xml:space="preserve"> i centralnoj školi u Đakovu, dopunska, dodatna nastava i izvannastavne aktivnosti. </w:t>
      </w:r>
      <w:r w:rsidR="00CB331A">
        <w:rPr>
          <w:rFonts w:ascii="Times New Roman" w:hAnsi="Times New Roman" w:cs="Times New Roman"/>
          <w:sz w:val="24"/>
        </w:rPr>
        <w:br/>
      </w:r>
      <w:r w:rsidR="009032AB" w:rsidRPr="00F960B6">
        <w:rPr>
          <w:rFonts w:ascii="Times New Roman" w:hAnsi="Times New Roman" w:cs="Times New Roman"/>
          <w:sz w:val="24"/>
        </w:rPr>
        <w:t xml:space="preserve">Osim redovne škole imamo i odjele za učenike s </w:t>
      </w:r>
      <w:r w:rsidR="00CB331A">
        <w:rPr>
          <w:rFonts w:ascii="Times New Roman" w:hAnsi="Times New Roman" w:cs="Times New Roman"/>
          <w:sz w:val="24"/>
        </w:rPr>
        <w:t>teškoćama u kojim se ostvaruje odgojno obrazovni program u posebnim razrednim odjelima i odgojno-obrazovnim skupinama</w:t>
      </w:r>
      <w:r w:rsidR="009032AB" w:rsidRPr="00F960B6">
        <w:rPr>
          <w:rFonts w:ascii="Times New Roman" w:hAnsi="Times New Roman" w:cs="Times New Roman"/>
          <w:sz w:val="24"/>
        </w:rPr>
        <w:t>. Uz centralnu školu imamo i dvije područne škole i to u Đakovačkom Pisk</w:t>
      </w:r>
      <w:r w:rsidR="00480641">
        <w:rPr>
          <w:rFonts w:ascii="Times New Roman" w:hAnsi="Times New Roman" w:cs="Times New Roman"/>
          <w:sz w:val="24"/>
        </w:rPr>
        <w:t xml:space="preserve">u i </w:t>
      </w:r>
      <w:proofErr w:type="spellStart"/>
      <w:r w:rsidR="00480641">
        <w:rPr>
          <w:rFonts w:ascii="Times New Roman" w:hAnsi="Times New Roman" w:cs="Times New Roman"/>
          <w:sz w:val="24"/>
        </w:rPr>
        <w:t>Ivanovcima</w:t>
      </w:r>
      <w:proofErr w:type="spellEnd"/>
      <w:r w:rsidR="00CB331A">
        <w:rPr>
          <w:rFonts w:ascii="Times New Roman" w:hAnsi="Times New Roman" w:cs="Times New Roman"/>
          <w:sz w:val="24"/>
        </w:rPr>
        <w:t xml:space="preserve"> Đakovačkim.</w:t>
      </w:r>
      <w:r w:rsidR="00CB331A">
        <w:rPr>
          <w:rFonts w:ascii="Times New Roman" w:hAnsi="Times New Roman" w:cs="Times New Roman"/>
          <w:sz w:val="24"/>
        </w:rPr>
        <w:br/>
        <w:t>Školu polazi 519</w:t>
      </w:r>
      <w:r w:rsidR="009032AB" w:rsidRPr="00F960B6">
        <w:rPr>
          <w:rFonts w:ascii="Times New Roman" w:hAnsi="Times New Roman" w:cs="Times New Roman"/>
          <w:sz w:val="24"/>
        </w:rPr>
        <w:t xml:space="preserve"> </w:t>
      </w:r>
      <w:r w:rsidR="00CB331A">
        <w:rPr>
          <w:rFonts w:ascii="Times New Roman" w:hAnsi="Times New Roman" w:cs="Times New Roman"/>
          <w:sz w:val="24"/>
        </w:rPr>
        <w:t>učenika u redovnim odjelima, 15</w:t>
      </w:r>
      <w:r w:rsidR="002B2870" w:rsidRPr="00F960B6">
        <w:rPr>
          <w:rFonts w:ascii="Times New Roman" w:hAnsi="Times New Roman" w:cs="Times New Roman"/>
          <w:sz w:val="24"/>
        </w:rPr>
        <w:t xml:space="preserve"> učenika u L</w:t>
      </w:r>
      <w:r w:rsidR="005C7B7E">
        <w:rPr>
          <w:rFonts w:ascii="Times New Roman" w:hAnsi="Times New Roman" w:cs="Times New Roman"/>
          <w:sz w:val="24"/>
        </w:rPr>
        <w:t>I</w:t>
      </w:r>
      <w:r w:rsidR="00B07345">
        <w:rPr>
          <w:rFonts w:ascii="Times New Roman" w:hAnsi="Times New Roman" w:cs="Times New Roman"/>
          <w:sz w:val="24"/>
        </w:rPr>
        <w:t>T</w:t>
      </w:r>
      <w:r w:rsidR="005C7B7E">
        <w:rPr>
          <w:rFonts w:ascii="Times New Roman" w:hAnsi="Times New Roman" w:cs="Times New Roman"/>
          <w:sz w:val="24"/>
        </w:rPr>
        <w:t xml:space="preserve"> (posebnim odjelima)</w:t>
      </w:r>
      <w:r w:rsidR="002B2870" w:rsidRPr="00F960B6">
        <w:rPr>
          <w:rFonts w:ascii="Times New Roman" w:hAnsi="Times New Roman" w:cs="Times New Roman"/>
          <w:sz w:val="24"/>
        </w:rPr>
        <w:t xml:space="preserve"> i </w:t>
      </w:r>
      <w:r w:rsidR="00C44B5D" w:rsidRPr="00F960B6">
        <w:rPr>
          <w:rFonts w:ascii="Times New Roman" w:hAnsi="Times New Roman" w:cs="Times New Roman"/>
          <w:sz w:val="24"/>
        </w:rPr>
        <w:t>2</w:t>
      </w:r>
      <w:r w:rsidR="00B07345">
        <w:rPr>
          <w:rFonts w:ascii="Times New Roman" w:hAnsi="Times New Roman" w:cs="Times New Roman"/>
          <w:sz w:val="24"/>
        </w:rPr>
        <w:t>4 učenika u U</w:t>
      </w:r>
      <w:r w:rsidR="005C7B7E">
        <w:rPr>
          <w:rFonts w:ascii="Times New Roman" w:hAnsi="Times New Roman" w:cs="Times New Roman"/>
          <w:sz w:val="24"/>
        </w:rPr>
        <w:t>IT i TIT (skupinama)</w:t>
      </w:r>
      <w:r w:rsidR="00B07345">
        <w:rPr>
          <w:rFonts w:ascii="Times New Roman" w:hAnsi="Times New Roman" w:cs="Times New Roman"/>
          <w:sz w:val="24"/>
        </w:rPr>
        <w:t>. Što čini 558</w:t>
      </w:r>
      <w:r w:rsidR="002B2870" w:rsidRPr="00F960B6">
        <w:rPr>
          <w:rFonts w:ascii="Times New Roman" w:hAnsi="Times New Roman" w:cs="Times New Roman"/>
          <w:sz w:val="24"/>
        </w:rPr>
        <w:t xml:space="preserve"> uče</w:t>
      </w:r>
      <w:r w:rsidR="00480641">
        <w:rPr>
          <w:rFonts w:ascii="Times New Roman" w:hAnsi="Times New Roman" w:cs="Times New Roman"/>
          <w:sz w:val="24"/>
        </w:rPr>
        <w:t xml:space="preserve">nika u 37 odjela. U školi radi </w:t>
      </w:r>
      <w:r w:rsidR="00B07345">
        <w:rPr>
          <w:rFonts w:ascii="Times New Roman" w:hAnsi="Times New Roman" w:cs="Times New Roman"/>
          <w:sz w:val="24"/>
        </w:rPr>
        <w:t>49</w:t>
      </w:r>
      <w:r w:rsidR="002B2870" w:rsidRPr="00F960B6">
        <w:rPr>
          <w:rFonts w:ascii="Times New Roman" w:hAnsi="Times New Roman" w:cs="Times New Roman"/>
          <w:sz w:val="24"/>
        </w:rPr>
        <w:t xml:space="preserve"> učitelja</w:t>
      </w:r>
      <w:r w:rsidR="000F03A2" w:rsidRPr="00F960B6">
        <w:rPr>
          <w:rFonts w:ascii="Times New Roman" w:hAnsi="Times New Roman" w:cs="Times New Roman"/>
          <w:sz w:val="24"/>
        </w:rPr>
        <w:t>, 9 defektologa, 4 stručna suradnika, 15 ostalih radnika i 1 ravnatelj.</w:t>
      </w:r>
      <w:r w:rsidR="00F8434C" w:rsidRPr="00F960B6">
        <w:rPr>
          <w:rFonts w:ascii="Times New Roman" w:hAnsi="Times New Roman" w:cs="Times New Roman"/>
          <w:sz w:val="24"/>
        </w:rPr>
        <w:br/>
      </w:r>
    </w:p>
    <w:p w:rsidR="000F03A2" w:rsidRPr="00F960B6" w:rsidRDefault="00F960B6" w:rsidP="00250B0F">
      <w:pPr>
        <w:pStyle w:val="Odlomakpopisa"/>
        <w:numPr>
          <w:ilvl w:val="0"/>
          <w:numId w:val="1"/>
        </w:numPr>
        <w:ind w:left="567"/>
        <w:rPr>
          <w:rFonts w:ascii="Times New Roman" w:hAnsi="Times New Roman" w:cs="Times New Roman"/>
          <w:sz w:val="24"/>
        </w:rPr>
      </w:pPr>
      <w:r w:rsidRPr="00F960B6">
        <w:rPr>
          <w:rFonts w:ascii="Times New Roman" w:hAnsi="Times New Roman" w:cs="Times New Roman"/>
          <w:b/>
          <w:sz w:val="24"/>
        </w:rPr>
        <w:t>OBRAZLOŽENJE RADA ŠKOLSKE USTANOVE</w:t>
      </w:r>
      <w:r w:rsidR="00F8434C" w:rsidRPr="00F960B6">
        <w:rPr>
          <w:rFonts w:ascii="Times New Roman" w:hAnsi="Times New Roman" w:cs="Times New Roman"/>
          <w:b/>
          <w:sz w:val="24"/>
        </w:rPr>
        <w:br/>
      </w:r>
      <w:r w:rsidR="000F03A2" w:rsidRPr="00F960B6">
        <w:rPr>
          <w:rFonts w:ascii="Times New Roman" w:hAnsi="Times New Roman" w:cs="Times New Roman"/>
        </w:rPr>
        <w:br/>
      </w:r>
      <w:r w:rsidR="000F03A2" w:rsidRPr="00F960B6">
        <w:rPr>
          <w:rFonts w:ascii="Times New Roman" w:hAnsi="Times New Roman" w:cs="Times New Roman"/>
          <w:sz w:val="24"/>
        </w:rPr>
        <w:t>Prioritet škole je kvalitetno obrazovanje i odgoj učenika što ostvarujemo:</w:t>
      </w:r>
      <w:r w:rsidR="00F8434C" w:rsidRPr="00F960B6">
        <w:rPr>
          <w:rFonts w:ascii="Times New Roman" w:hAnsi="Times New Roman" w:cs="Times New Roman"/>
          <w:sz w:val="24"/>
        </w:rPr>
        <w:br/>
      </w:r>
    </w:p>
    <w:p w:rsidR="000F03A2" w:rsidRPr="00F960B6" w:rsidRDefault="000F03A2"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Kontinuiranim usavršavanjem učitelja (samoobrazovanje, stručna predmetna vijeća, učiteljsko vijeće, županijska vijeća itd.) i podizanjem nastavnog standarda na višu razinu.</w:t>
      </w:r>
    </w:p>
    <w:p w:rsidR="000F03A2" w:rsidRPr="00F960B6" w:rsidRDefault="000F03A2"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Poticanje kreativnosti učenika kroz projekte, slobodne aktivnosti, školska natjecanja, priredbe.</w:t>
      </w:r>
    </w:p>
    <w:p w:rsidR="000F03A2" w:rsidRPr="00F960B6" w:rsidRDefault="000F03A2"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Organiziranje zajedničkih aktivnosti učenika i učitelja, izleti i ekskurzije</w:t>
      </w:r>
    </w:p>
    <w:p w:rsidR="000F03A2" w:rsidRPr="00F960B6" w:rsidRDefault="000F03A2"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Poticanje razvoja pozitivnih vrijednosti.</w:t>
      </w:r>
      <w:r w:rsidR="00F8434C" w:rsidRPr="00F960B6">
        <w:rPr>
          <w:rFonts w:ascii="Times New Roman" w:hAnsi="Times New Roman" w:cs="Times New Roman"/>
          <w:sz w:val="24"/>
        </w:rPr>
        <w:br/>
      </w:r>
      <w:r w:rsidR="00F8434C" w:rsidRPr="00F960B6">
        <w:rPr>
          <w:rFonts w:ascii="Times New Roman" w:hAnsi="Times New Roman" w:cs="Times New Roman"/>
          <w:sz w:val="24"/>
        </w:rPr>
        <w:br/>
      </w:r>
    </w:p>
    <w:p w:rsidR="000F03A2" w:rsidRPr="00F960B6" w:rsidRDefault="00F960B6" w:rsidP="000F03A2">
      <w:pPr>
        <w:pStyle w:val="Odlomakpopisa"/>
        <w:numPr>
          <w:ilvl w:val="0"/>
          <w:numId w:val="1"/>
        </w:numPr>
        <w:rPr>
          <w:rFonts w:ascii="Times New Roman" w:hAnsi="Times New Roman" w:cs="Times New Roman"/>
          <w:b/>
          <w:sz w:val="24"/>
        </w:rPr>
      </w:pPr>
      <w:r w:rsidRPr="00F960B6">
        <w:rPr>
          <w:rFonts w:ascii="Times New Roman" w:hAnsi="Times New Roman" w:cs="Times New Roman"/>
          <w:b/>
          <w:sz w:val="24"/>
        </w:rPr>
        <w:lastRenderedPageBreak/>
        <w:t>ZAKONSKE I DRUGE PODLOGE NA KOJIMA SE ZASNIVA PROGRAM RADA ŠKOLE</w:t>
      </w:r>
      <w:r w:rsidR="00F8434C" w:rsidRPr="00F960B6">
        <w:rPr>
          <w:rFonts w:ascii="Times New Roman" w:hAnsi="Times New Roman" w:cs="Times New Roman"/>
          <w:b/>
          <w:sz w:val="24"/>
        </w:rPr>
        <w:br/>
      </w:r>
    </w:p>
    <w:p w:rsidR="000F03A2" w:rsidRPr="00F960B6" w:rsidRDefault="000F03A2"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Zakon o odgoju i obrazovanju</w:t>
      </w:r>
      <w:r w:rsidR="003B6A0C" w:rsidRPr="00F960B6">
        <w:rPr>
          <w:rFonts w:ascii="Times New Roman" w:hAnsi="Times New Roman" w:cs="Times New Roman"/>
          <w:sz w:val="24"/>
        </w:rPr>
        <w:t xml:space="preserve"> u osnovnoj i srednjoj školi (</w:t>
      </w:r>
      <w:proofErr w:type="spellStart"/>
      <w:r w:rsidR="003B6A0C" w:rsidRPr="00F960B6">
        <w:rPr>
          <w:rFonts w:ascii="Times New Roman" w:hAnsi="Times New Roman" w:cs="Times New Roman"/>
          <w:sz w:val="24"/>
        </w:rPr>
        <w:t>NNbr</w:t>
      </w:r>
      <w:proofErr w:type="spellEnd"/>
      <w:r w:rsidR="003B6A0C" w:rsidRPr="00F960B6">
        <w:rPr>
          <w:rFonts w:ascii="Times New Roman" w:hAnsi="Times New Roman" w:cs="Times New Roman"/>
          <w:sz w:val="24"/>
        </w:rPr>
        <w:t>. 87/08., 86/09., 92/10., 90/11., 16/12., 86/12. i 94/13.),</w:t>
      </w:r>
    </w:p>
    <w:p w:rsidR="003B6A0C" w:rsidRPr="00F960B6" w:rsidRDefault="003B6A0C"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Zakon o ustanovama (</w:t>
      </w:r>
      <w:proofErr w:type="spellStart"/>
      <w:r w:rsidRPr="00F960B6">
        <w:rPr>
          <w:rFonts w:ascii="Times New Roman" w:hAnsi="Times New Roman" w:cs="Times New Roman"/>
          <w:sz w:val="24"/>
        </w:rPr>
        <w:t>NNbr</w:t>
      </w:r>
      <w:proofErr w:type="spellEnd"/>
      <w:r w:rsidRPr="00F960B6">
        <w:rPr>
          <w:rFonts w:ascii="Times New Roman" w:hAnsi="Times New Roman" w:cs="Times New Roman"/>
          <w:sz w:val="24"/>
        </w:rPr>
        <w:t>. 76/93., 29/97.,47/99. i 35/08.),</w:t>
      </w:r>
    </w:p>
    <w:p w:rsidR="003B6A0C" w:rsidRPr="00F960B6" w:rsidRDefault="003B6A0C"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Zakon o proračunu (</w:t>
      </w:r>
      <w:proofErr w:type="spellStart"/>
      <w:r w:rsidRPr="00F960B6">
        <w:rPr>
          <w:rFonts w:ascii="Times New Roman" w:hAnsi="Times New Roman" w:cs="Times New Roman"/>
          <w:sz w:val="24"/>
        </w:rPr>
        <w:t>NNbr</w:t>
      </w:r>
      <w:proofErr w:type="spellEnd"/>
      <w:r w:rsidRPr="00F960B6">
        <w:rPr>
          <w:rFonts w:ascii="Times New Roman" w:hAnsi="Times New Roman" w:cs="Times New Roman"/>
          <w:sz w:val="24"/>
        </w:rPr>
        <w:t>. 87/08.</w:t>
      </w:r>
      <w:r w:rsidR="00F516D4" w:rsidRPr="00F960B6">
        <w:rPr>
          <w:rFonts w:ascii="Times New Roman" w:hAnsi="Times New Roman" w:cs="Times New Roman"/>
          <w:sz w:val="24"/>
        </w:rPr>
        <w:t>), Pravilnik o proračunskim klasifikacijama</w:t>
      </w:r>
      <w:r w:rsidR="00F516D4" w:rsidRPr="00F960B6">
        <w:rPr>
          <w:rFonts w:ascii="Times New Roman" w:hAnsi="Times New Roman" w:cs="Times New Roman"/>
          <w:sz w:val="24"/>
        </w:rPr>
        <w:br/>
        <w:t xml:space="preserve"> (</w:t>
      </w:r>
      <w:proofErr w:type="spellStart"/>
      <w:r w:rsidR="00F516D4" w:rsidRPr="00F960B6">
        <w:rPr>
          <w:rFonts w:ascii="Times New Roman" w:hAnsi="Times New Roman" w:cs="Times New Roman"/>
          <w:sz w:val="24"/>
        </w:rPr>
        <w:t>NNbr</w:t>
      </w:r>
      <w:proofErr w:type="spellEnd"/>
      <w:r w:rsidR="00F516D4" w:rsidRPr="00F960B6">
        <w:rPr>
          <w:rFonts w:ascii="Times New Roman" w:hAnsi="Times New Roman" w:cs="Times New Roman"/>
          <w:sz w:val="24"/>
        </w:rPr>
        <w:t xml:space="preserve">. 26/10.), Pravilnik o proračunskom računovodstvu i računskom planu </w:t>
      </w:r>
      <w:r w:rsidR="00F516D4" w:rsidRPr="00F960B6">
        <w:rPr>
          <w:rFonts w:ascii="Times New Roman" w:hAnsi="Times New Roman" w:cs="Times New Roman"/>
          <w:sz w:val="24"/>
        </w:rPr>
        <w:br/>
        <w:t>(</w:t>
      </w:r>
      <w:proofErr w:type="spellStart"/>
      <w:r w:rsidR="00F516D4" w:rsidRPr="00F960B6">
        <w:rPr>
          <w:rFonts w:ascii="Times New Roman" w:hAnsi="Times New Roman" w:cs="Times New Roman"/>
          <w:sz w:val="24"/>
        </w:rPr>
        <w:t>NNbr</w:t>
      </w:r>
      <w:proofErr w:type="spellEnd"/>
      <w:r w:rsidR="00F516D4" w:rsidRPr="00F960B6">
        <w:rPr>
          <w:rFonts w:ascii="Times New Roman" w:hAnsi="Times New Roman" w:cs="Times New Roman"/>
          <w:sz w:val="24"/>
        </w:rPr>
        <w:t>. 114/10. i 31/11.),</w:t>
      </w:r>
    </w:p>
    <w:p w:rsidR="00F516D4" w:rsidRPr="00F960B6" w:rsidRDefault="00F516D4"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 xml:space="preserve">Upute za izradu proračuna lokalne (regionalne) samouprave za razdoblje </w:t>
      </w:r>
      <w:r w:rsidRPr="00F960B6">
        <w:rPr>
          <w:rFonts w:ascii="Times New Roman" w:hAnsi="Times New Roman" w:cs="Times New Roman"/>
          <w:sz w:val="24"/>
        </w:rPr>
        <w:br/>
        <w:t>20</w:t>
      </w:r>
      <w:r w:rsidR="00BD0E4D">
        <w:rPr>
          <w:rFonts w:ascii="Times New Roman" w:hAnsi="Times New Roman" w:cs="Times New Roman"/>
          <w:sz w:val="24"/>
        </w:rPr>
        <w:t>1</w:t>
      </w:r>
      <w:r w:rsidR="0040023B">
        <w:rPr>
          <w:rFonts w:ascii="Times New Roman" w:hAnsi="Times New Roman" w:cs="Times New Roman"/>
          <w:sz w:val="24"/>
        </w:rPr>
        <w:t>8</w:t>
      </w:r>
      <w:r w:rsidRPr="00F960B6">
        <w:rPr>
          <w:rFonts w:ascii="Times New Roman" w:hAnsi="Times New Roman" w:cs="Times New Roman"/>
          <w:sz w:val="24"/>
        </w:rPr>
        <w:t>.–</w:t>
      </w:r>
      <w:r w:rsidR="0040023B">
        <w:rPr>
          <w:rFonts w:ascii="Times New Roman" w:hAnsi="Times New Roman" w:cs="Times New Roman"/>
          <w:sz w:val="24"/>
        </w:rPr>
        <w:t>2020</w:t>
      </w:r>
      <w:r w:rsidR="00480641">
        <w:rPr>
          <w:rFonts w:ascii="Times New Roman" w:hAnsi="Times New Roman" w:cs="Times New Roman"/>
          <w:sz w:val="24"/>
        </w:rPr>
        <w:t>. iz listopada 201</w:t>
      </w:r>
      <w:r w:rsidR="0040023B">
        <w:rPr>
          <w:rFonts w:ascii="Times New Roman" w:hAnsi="Times New Roman" w:cs="Times New Roman"/>
          <w:sz w:val="24"/>
        </w:rPr>
        <w:t>7</w:t>
      </w:r>
      <w:r w:rsidR="008E5FFD" w:rsidRPr="00F960B6">
        <w:rPr>
          <w:rFonts w:ascii="Times New Roman" w:hAnsi="Times New Roman" w:cs="Times New Roman"/>
          <w:sz w:val="24"/>
        </w:rPr>
        <w:t>. godine i dopis Upravnog odjela za prosvjetu, kulturu, šport</w:t>
      </w:r>
      <w:r w:rsidR="00BD0E4D">
        <w:rPr>
          <w:rFonts w:ascii="Times New Roman" w:hAnsi="Times New Roman" w:cs="Times New Roman"/>
          <w:sz w:val="24"/>
        </w:rPr>
        <w:t xml:space="preserve"> i tehničku kulturu iz rujna 201</w:t>
      </w:r>
      <w:r w:rsidR="0040023B">
        <w:rPr>
          <w:rFonts w:ascii="Times New Roman" w:hAnsi="Times New Roman" w:cs="Times New Roman"/>
          <w:sz w:val="24"/>
        </w:rPr>
        <w:t>7</w:t>
      </w:r>
      <w:r w:rsidR="00BD0E4D">
        <w:rPr>
          <w:rFonts w:ascii="Times New Roman" w:hAnsi="Times New Roman" w:cs="Times New Roman"/>
          <w:sz w:val="24"/>
        </w:rPr>
        <w:t>.</w:t>
      </w:r>
      <w:r w:rsidR="008E5FFD" w:rsidRPr="00F960B6">
        <w:rPr>
          <w:rFonts w:ascii="Times New Roman" w:hAnsi="Times New Roman" w:cs="Times New Roman"/>
          <w:sz w:val="24"/>
        </w:rPr>
        <w:t xml:space="preserve"> godine.</w:t>
      </w:r>
    </w:p>
    <w:p w:rsidR="0040433E" w:rsidRPr="00F960B6" w:rsidRDefault="008E5FFD"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Godišnji plan i program</w:t>
      </w:r>
      <w:r w:rsidR="0040433E" w:rsidRPr="00F960B6">
        <w:rPr>
          <w:rFonts w:ascii="Times New Roman" w:hAnsi="Times New Roman" w:cs="Times New Roman"/>
          <w:sz w:val="24"/>
        </w:rPr>
        <w:t xml:space="preserve"> rada škole, Školski kurikulum OŠ“Vladimir Nazor „ Đakovo, nastavne i izvannastavne aktivnosti.</w:t>
      </w:r>
      <w:r w:rsidR="00F8434C" w:rsidRPr="00F960B6">
        <w:rPr>
          <w:rFonts w:ascii="Times New Roman" w:hAnsi="Times New Roman" w:cs="Times New Roman"/>
          <w:sz w:val="24"/>
        </w:rPr>
        <w:br/>
      </w:r>
    </w:p>
    <w:tbl>
      <w:tblPr>
        <w:tblStyle w:val="Reetkatablice"/>
        <w:tblpPr w:leftFromText="180" w:rightFromText="180" w:vertAnchor="text" w:horzAnchor="margin" w:tblpXSpec="center" w:tblpY="3775"/>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87"/>
        <w:gridCol w:w="2065"/>
        <w:gridCol w:w="1418"/>
        <w:gridCol w:w="1275"/>
        <w:gridCol w:w="1276"/>
        <w:gridCol w:w="1276"/>
      </w:tblGrid>
      <w:tr w:rsidR="00761BBB" w:rsidRPr="00F960B6" w:rsidTr="00761BBB">
        <w:tc>
          <w:tcPr>
            <w:tcW w:w="1587" w:type="dxa"/>
            <w:tcBorders>
              <w:top w:val="double" w:sz="4" w:space="0" w:color="auto"/>
              <w:bottom w:val="double" w:sz="4" w:space="0" w:color="auto"/>
            </w:tcBorders>
            <w:vAlign w:val="center"/>
          </w:tcPr>
          <w:p w:rsidR="00761BBB" w:rsidRPr="00F960B6" w:rsidRDefault="00761BBB" w:rsidP="00761BBB">
            <w:pPr>
              <w:pStyle w:val="Default"/>
              <w:jc w:val="center"/>
              <w:rPr>
                <w:rFonts w:ascii="Times New Roman" w:hAnsi="Times New Roman" w:cs="Times New Roman"/>
                <w:sz w:val="20"/>
                <w:szCs w:val="20"/>
              </w:rPr>
            </w:pPr>
            <w:r w:rsidRPr="00F960B6">
              <w:rPr>
                <w:rFonts w:ascii="Times New Roman" w:hAnsi="Times New Roman" w:cs="Times New Roman"/>
                <w:b/>
                <w:bCs/>
                <w:sz w:val="20"/>
                <w:szCs w:val="20"/>
              </w:rPr>
              <w:t>Pokazatelj rezultata</w:t>
            </w:r>
          </w:p>
        </w:tc>
        <w:tc>
          <w:tcPr>
            <w:tcW w:w="2065" w:type="dxa"/>
            <w:tcBorders>
              <w:top w:val="double" w:sz="4" w:space="0" w:color="auto"/>
              <w:bottom w:val="double" w:sz="4" w:space="0" w:color="auto"/>
            </w:tcBorders>
            <w:vAlign w:val="center"/>
          </w:tcPr>
          <w:p w:rsidR="00761BBB" w:rsidRPr="00F960B6" w:rsidRDefault="00761BBB" w:rsidP="00761BBB">
            <w:pPr>
              <w:pStyle w:val="Default"/>
              <w:jc w:val="center"/>
              <w:rPr>
                <w:rFonts w:ascii="Times New Roman" w:hAnsi="Times New Roman" w:cs="Times New Roman"/>
                <w:sz w:val="20"/>
                <w:szCs w:val="20"/>
              </w:rPr>
            </w:pPr>
            <w:r w:rsidRPr="00F960B6">
              <w:rPr>
                <w:rFonts w:ascii="Times New Roman" w:hAnsi="Times New Roman" w:cs="Times New Roman"/>
                <w:b/>
                <w:bCs/>
                <w:sz w:val="20"/>
                <w:szCs w:val="20"/>
              </w:rPr>
              <w:t>Definicija</w:t>
            </w:r>
          </w:p>
        </w:tc>
        <w:tc>
          <w:tcPr>
            <w:tcW w:w="1418" w:type="dxa"/>
            <w:tcBorders>
              <w:top w:val="double" w:sz="4" w:space="0" w:color="auto"/>
              <w:bottom w:val="double" w:sz="4" w:space="0" w:color="auto"/>
            </w:tcBorders>
            <w:vAlign w:val="center"/>
          </w:tcPr>
          <w:p w:rsidR="00761BBB" w:rsidRPr="00F960B6" w:rsidRDefault="00761BBB" w:rsidP="00761BBB">
            <w:pPr>
              <w:pStyle w:val="Default"/>
              <w:jc w:val="center"/>
              <w:rPr>
                <w:rFonts w:ascii="Times New Roman" w:hAnsi="Times New Roman" w:cs="Times New Roman"/>
                <w:sz w:val="20"/>
                <w:szCs w:val="20"/>
              </w:rPr>
            </w:pPr>
            <w:r w:rsidRPr="00F960B6">
              <w:rPr>
                <w:rFonts w:ascii="Times New Roman" w:hAnsi="Times New Roman" w:cs="Times New Roman"/>
                <w:b/>
                <w:bCs/>
                <w:sz w:val="20"/>
                <w:szCs w:val="20"/>
              </w:rPr>
              <w:t>Jedinica i izvor</w:t>
            </w:r>
          </w:p>
        </w:tc>
        <w:tc>
          <w:tcPr>
            <w:tcW w:w="1275" w:type="dxa"/>
            <w:tcBorders>
              <w:top w:val="double" w:sz="4" w:space="0" w:color="auto"/>
              <w:bottom w:val="double" w:sz="4" w:space="0" w:color="auto"/>
            </w:tcBorders>
            <w:vAlign w:val="center"/>
          </w:tcPr>
          <w:p w:rsidR="00761BBB" w:rsidRPr="00F960B6" w:rsidRDefault="00BD0E4D" w:rsidP="00761BBB">
            <w:pPr>
              <w:pStyle w:val="Default"/>
              <w:jc w:val="center"/>
              <w:rPr>
                <w:rFonts w:ascii="Times New Roman" w:hAnsi="Times New Roman" w:cs="Times New Roman"/>
                <w:sz w:val="20"/>
                <w:szCs w:val="20"/>
              </w:rPr>
            </w:pPr>
            <w:r>
              <w:rPr>
                <w:rFonts w:ascii="Times New Roman" w:hAnsi="Times New Roman" w:cs="Times New Roman"/>
                <w:b/>
                <w:bCs/>
                <w:sz w:val="20"/>
                <w:szCs w:val="20"/>
              </w:rPr>
              <w:t>Ciljana vrijednost 2017</w:t>
            </w:r>
            <w:r w:rsidR="00761BBB" w:rsidRPr="00F960B6">
              <w:rPr>
                <w:rFonts w:ascii="Times New Roman" w:hAnsi="Times New Roman" w:cs="Times New Roman"/>
                <w:b/>
                <w:bCs/>
                <w:sz w:val="20"/>
                <w:szCs w:val="20"/>
              </w:rPr>
              <w:t>.</w:t>
            </w:r>
          </w:p>
        </w:tc>
        <w:tc>
          <w:tcPr>
            <w:tcW w:w="1276" w:type="dxa"/>
            <w:tcBorders>
              <w:top w:val="double" w:sz="4" w:space="0" w:color="auto"/>
              <w:bottom w:val="double" w:sz="4" w:space="0" w:color="auto"/>
            </w:tcBorders>
            <w:vAlign w:val="center"/>
          </w:tcPr>
          <w:p w:rsidR="00761BBB" w:rsidRPr="00F960B6" w:rsidRDefault="00580819" w:rsidP="00BD0E4D">
            <w:pPr>
              <w:pStyle w:val="Default"/>
              <w:jc w:val="center"/>
              <w:rPr>
                <w:rFonts w:ascii="Times New Roman" w:hAnsi="Times New Roman" w:cs="Times New Roman"/>
                <w:sz w:val="20"/>
                <w:szCs w:val="20"/>
              </w:rPr>
            </w:pPr>
            <w:r>
              <w:rPr>
                <w:rFonts w:ascii="Times New Roman" w:hAnsi="Times New Roman" w:cs="Times New Roman"/>
                <w:b/>
                <w:bCs/>
                <w:sz w:val="20"/>
                <w:szCs w:val="20"/>
              </w:rPr>
              <w:t>Ciljana vrijednost 201</w:t>
            </w:r>
            <w:r w:rsidR="00BD0E4D">
              <w:rPr>
                <w:rFonts w:ascii="Times New Roman" w:hAnsi="Times New Roman" w:cs="Times New Roman"/>
                <w:b/>
                <w:bCs/>
                <w:sz w:val="20"/>
                <w:szCs w:val="20"/>
              </w:rPr>
              <w:t>8</w:t>
            </w:r>
            <w:r w:rsidR="00761BBB" w:rsidRPr="00F960B6">
              <w:rPr>
                <w:rFonts w:ascii="Times New Roman" w:hAnsi="Times New Roman" w:cs="Times New Roman"/>
                <w:b/>
                <w:bCs/>
                <w:sz w:val="20"/>
                <w:szCs w:val="20"/>
              </w:rPr>
              <w:t>.</w:t>
            </w:r>
          </w:p>
        </w:tc>
        <w:tc>
          <w:tcPr>
            <w:tcW w:w="1276" w:type="dxa"/>
            <w:tcBorders>
              <w:top w:val="double" w:sz="4" w:space="0" w:color="auto"/>
              <w:bottom w:val="double" w:sz="4" w:space="0" w:color="auto"/>
            </w:tcBorders>
            <w:vAlign w:val="center"/>
          </w:tcPr>
          <w:p w:rsidR="00761BBB" w:rsidRPr="00F960B6" w:rsidRDefault="00580819" w:rsidP="00BD0E4D">
            <w:pPr>
              <w:pStyle w:val="Default"/>
              <w:jc w:val="center"/>
              <w:rPr>
                <w:rFonts w:ascii="Times New Roman" w:hAnsi="Times New Roman" w:cs="Times New Roman"/>
                <w:sz w:val="20"/>
                <w:szCs w:val="20"/>
              </w:rPr>
            </w:pPr>
            <w:r>
              <w:rPr>
                <w:rFonts w:ascii="Times New Roman" w:hAnsi="Times New Roman" w:cs="Times New Roman"/>
                <w:b/>
                <w:bCs/>
                <w:sz w:val="20"/>
                <w:szCs w:val="20"/>
              </w:rPr>
              <w:t>Ciljana vrijednost 201</w:t>
            </w:r>
            <w:r w:rsidR="00BD0E4D">
              <w:rPr>
                <w:rFonts w:ascii="Times New Roman" w:hAnsi="Times New Roman" w:cs="Times New Roman"/>
                <w:b/>
                <w:bCs/>
                <w:sz w:val="20"/>
                <w:szCs w:val="20"/>
              </w:rPr>
              <w:t>9</w:t>
            </w:r>
            <w:r w:rsidR="00761BBB" w:rsidRPr="00F960B6">
              <w:rPr>
                <w:rFonts w:ascii="Times New Roman" w:hAnsi="Times New Roman" w:cs="Times New Roman"/>
                <w:b/>
                <w:bCs/>
                <w:sz w:val="20"/>
                <w:szCs w:val="20"/>
              </w:rPr>
              <w:t>.</w:t>
            </w:r>
          </w:p>
        </w:tc>
      </w:tr>
      <w:tr w:rsidR="00761BBB" w:rsidRPr="00F960B6" w:rsidTr="00761BBB">
        <w:tc>
          <w:tcPr>
            <w:tcW w:w="1587" w:type="dxa"/>
            <w:tcBorders>
              <w:top w:val="double" w:sz="4" w:space="0" w:color="auto"/>
            </w:tcBorders>
            <w:vAlign w:val="center"/>
          </w:tcPr>
          <w:p w:rsidR="00761BBB" w:rsidRPr="00F960B6" w:rsidRDefault="00761BBB" w:rsidP="00761BBB">
            <w:pPr>
              <w:pStyle w:val="Default"/>
              <w:rPr>
                <w:rFonts w:ascii="Times New Roman" w:hAnsi="Times New Roman" w:cs="Times New Roman"/>
                <w:sz w:val="20"/>
                <w:szCs w:val="20"/>
              </w:rPr>
            </w:pPr>
            <w:r w:rsidRPr="00F960B6">
              <w:rPr>
                <w:rFonts w:ascii="Times New Roman" w:hAnsi="Times New Roman" w:cs="Times New Roman"/>
                <w:sz w:val="20"/>
                <w:szCs w:val="20"/>
              </w:rPr>
              <w:t>Sudjelovanje na projektima- školski , županijski, državni</w:t>
            </w:r>
          </w:p>
        </w:tc>
        <w:tc>
          <w:tcPr>
            <w:tcW w:w="2065" w:type="dxa"/>
            <w:tcBorders>
              <w:top w:val="double" w:sz="4" w:space="0" w:color="auto"/>
            </w:tcBorders>
            <w:vAlign w:val="center"/>
          </w:tcPr>
          <w:p w:rsidR="00761BBB" w:rsidRPr="00F960B6" w:rsidRDefault="00761BBB" w:rsidP="00761BBB">
            <w:pPr>
              <w:pStyle w:val="Default"/>
              <w:rPr>
                <w:rFonts w:ascii="Times New Roman" w:hAnsi="Times New Roman" w:cs="Times New Roman"/>
                <w:sz w:val="20"/>
                <w:szCs w:val="20"/>
              </w:rPr>
            </w:pPr>
            <w:r w:rsidRPr="00F960B6">
              <w:rPr>
                <w:rFonts w:ascii="Times New Roman" w:hAnsi="Times New Roman" w:cs="Times New Roman"/>
                <w:sz w:val="20"/>
                <w:szCs w:val="20"/>
              </w:rPr>
              <w:t>Razvijanje kreativnosti, talenata i sposobnosti</w:t>
            </w:r>
          </w:p>
        </w:tc>
        <w:tc>
          <w:tcPr>
            <w:tcW w:w="1418" w:type="dxa"/>
            <w:tcBorders>
              <w:top w:val="double" w:sz="4" w:space="0" w:color="auto"/>
            </w:tcBorders>
            <w:vAlign w:val="center"/>
          </w:tcPr>
          <w:p w:rsidR="00761BBB" w:rsidRPr="00F960B6" w:rsidRDefault="00BD0E4D" w:rsidP="00761BBB">
            <w:pPr>
              <w:pStyle w:val="Default"/>
              <w:rPr>
                <w:rFonts w:ascii="Times New Roman" w:hAnsi="Times New Roman" w:cs="Times New Roman"/>
                <w:sz w:val="20"/>
                <w:szCs w:val="20"/>
              </w:rPr>
            </w:pPr>
            <w:r>
              <w:rPr>
                <w:rFonts w:ascii="Times New Roman" w:hAnsi="Times New Roman" w:cs="Times New Roman"/>
                <w:sz w:val="20"/>
                <w:szCs w:val="20"/>
              </w:rPr>
              <w:t>Grupe 6</w:t>
            </w:r>
          </w:p>
          <w:p w:rsidR="00761BBB" w:rsidRPr="00F960B6" w:rsidRDefault="00761BBB" w:rsidP="00761BBB">
            <w:pPr>
              <w:rPr>
                <w:rFonts w:ascii="Times New Roman" w:hAnsi="Times New Roman" w:cs="Times New Roman"/>
                <w:sz w:val="20"/>
                <w:szCs w:val="20"/>
              </w:rPr>
            </w:pPr>
            <w:r w:rsidRPr="00F960B6">
              <w:rPr>
                <w:rFonts w:ascii="Times New Roman" w:hAnsi="Times New Roman" w:cs="Times New Roman"/>
                <w:sz w:val="20"/>
                <w:szCs w:val="20"/>
              </w:rPr>
              <w:t xml:space="preserve">Učenika </w:t>
            </w:r>
            <w:r w:rsidR="00BD0E4D">
              <w:rPr>
                <w:rFonts w:ascii="Times New Roman" w:hAnsi="Times New Roman" w:cs="Times New Roman"/>
                <w:sz w:val="20"/>
                <w:szCs w:val="20"/>
              </w:rPr>
              <w:t>310</w:t>
            </w:r>
          </w:p>
        </w:tc>
        <w:tc>
          <w:tcPr>
            <w:tcW w:w="1275" w:type="dxa"/>
            <w:tcBorders>
              <w:top w:val="double" w:sz="4" w:space="0" w:color="auto"/>
            </w:tcBorders>
            <w:vAlign w:val="center"/>
          </w:tcPr>
          <w:p w:rsidR="00761BBB" w:rsidRPr="00F960B6" w:rsidRDefault="00BD0E4D" w:rsidP="00761BBB">
            <w:pPr>
              <w:jc w:val="center"/>
              <w:rPr>
                <w:rFonts w:ascii="Times New Roman" w:hAnsi="Times New Roman" w:cs="Times New Roman"/>
                <w:sz w:val="20"/>
                <w:szCs w:val="20"/>
              </w:rPr>
            </w:pPr>
            <w:r>
              <w:rPr>
                <w:rFonts w:ascii="Times New Roman" w:hAnsi="Times New Roman" w:cs="Times New Roman"/>
                <w:sz w:val="20"/>
                <w:szCs w:val="20"/>
              </w:rPr>
              <w:t>300</w:t>
            </w:r>
          </w:p>
        </w:tc>
        <w:tc>
          <w:tcPr>
            <w:tcW w:w="1276" w:type="dxa"/>
            <w:tcBorders>
              <w:top w:val="double" w:sz="4" w:space="0" w:color="auto"/>
            </w:tcBorders>
            <w:vAlign w:val="center"/>
          </w:tcPr>
          <w:p w:rsidR="00761BBB" w:rsidRPr="00F960B6" w:rsidRDefault="00BD0E4D" w:rsidP="00761BBB">
            <w:pPr>
              <w:jc w:val="center"/>
              <w:rPr>
                <w:rFonts w:ascii="Times New Roman" w:hAnsi="Times New Roman" w:cs="Times New Roman"/>
                <w:sz w:val="20"/>
                <w:szCs w:val="20"/>
              </w:rPr>
            </w:pPr>
            <w:r>
              <w:rPr>
                <w:rFonts w:ascii="Times New Roman" w:hAnsi="Times New Roman" w:cs="Times New Roman"/>
                <w:sz w:val="20"/>
                <w:szCs w:val="20"/>
              </w:rPr>
              <w:t>300</w:t>
            </w:r>
          </w:p>
        </w:tc>
        <w:tc>
          <w:tcPr>
            <w:tcW w:w="1276" w:type="dxa"/>
            <w:tcBorders>
              <w:top w:val="double" w:sz="4" w:space="0" w:color="auto"/>
            </w:tcBorders>
            <w:vAlign w:val="center"/>
          </w:tcPr>
          <w:p w:rsidR="00761BBB" w:rsidRPr="00F960B6" w:rsidRDefault="00BD0E4D" w:rsidP="00761BBB">
            <w:pPr>
              <w:jc w:val="center"/>
              <w:rPr>
                <w:rFonts w:ascii="Times New Roman" w:hAnsi="Times New Roman" w:cs="Times New Roman"/>
                <w:sz w:val="20"/>
                <w:szCs w:val="20"/>
              </w:rPr>
            </w:pPr>
            <w:r>
              <w:rPr>
                <w:rFonts w:ascii="Times New Roman" w:hAnsi="Times New Roman" w:cs="Times New Roman"/>
                <w:sz w:val="20"/>
                <w:szCs w:val="20"/>
              </w:rPr>
              <w:t>300</w:t>
            </w:r>
          </w:p>
        </w:tc>
      </w:tr>
      <w:tr w:rsidR="00761BBB" w:rsidRPr="00F960B6" w:rsidTr="00761BBB">
        <w:tc>
          <w:tcPr>
            <w:tcW w:w="1587" w:type="dxa"/>
            <w:vAlign w:val="center"/>
          </w:tcPr>
          <w:p w:rsidR="00761BBB" w:rsidRPr="00F960B6" w:rsidRDefault="00761BBB" w:rsidP="00761BBB">
            <w:pPr>
              <w:pStyle w:val="Default"/>
              <w:rPr>
                <w:rFonts w:ascii="Times New Roman" w:hAnsi="Times New Roman" w:cs="Times New Roman"/>
                <w:sz w:val="20"/>
                <w:szCs w:val="20"/>
              </w:rPr>
            </w:pPr>
            <w:r w:rsidRPr="00F960B6">
              <w:rPr>
                <w:rFonts w:ascii="Times New Roman" w:hAnsi="Times New Roman" w:cs="Times New Roman"/>
                <w:sz w:val="20"/>
                <w:szCs w:val="20"/>
              </w:rPr>
              <w:t>sportska natjecanja, košarka,</w:t>
            </w:r>
          </w:p>
          <w:p w:rsidR="00761BBB" w:rsidRPr="00F960B6" w:rsidRDefault="00761BBB" w:rsidP="00761BBB">
            <w:pPr>
              <w:rPr>
                <w:rFonts w:ascii="Times New Roman" w:hAnsi="Times New Roman" w:cs="Times New Roman"/>
                <w:sz w:val="20"/>
                <w:szCs w:val="20"/>
              </w:rPr>
            </w:pPr>
            <w:r w:rsidRPr="00F960B6">
              <w:rPr>
                <w:rFonts w:ascii="Times New Roman" w:hAnsi="Times New Roman" w:cs="Times New Roman"/>
                <w:sz w:val="20"/>
                <w:szCs w:val="20"/>
              </w:rPr>
              <w:t>atletika  m i ž</w:t>
            </w:r>
          </w:p>
        </w:tc>
        <w:tc>
          <w:tcPr>
            <w:tcW w:w="2065" w:type="dxa"/>
            <w:vAlign w:val="center"/>
          </w:tcPr>
          <w:p w:rsidR="00761BBB" w:rsidRPr="00F960B6" w:rsidRDefault="00580819" w:rsidP="00761BBB">
            <w:pPr>
              <w:pStyle w:val="Default"/>
              <w:rPr>
                <w:rFonts w:ascii="Times New Roman" w:hAnsi="Times New Roman" w:cs="Times New Roman"/>
                <w:sz w:val="20"/>
                <w:szCs w:val="20"/>
              </w:rPr>
            </w:pPr>
            <w:r>
              <w:rPr>
                <w:rFonts w:ascii="Times New Roman" w:hAnsi="Times New Roman" w:cs="Times New Roman"/>
                <w:sz w:val="20"/>
                <w:szCs w:val="20"/>
              </w:rPr>
              <w:t xml:space="preserve">razvijanje sportskog </w:t>
            </w:r>
            <w:r w:rsidR="00761BBB" w:rsidRPr="00F960B6">
              <w:rPr>
                <w:rFonts w:ascii="Times New Roman" w:hAnsi="Times New Roman" w:cs="Times New Roman"/>
                <w:sz w:val="20"/>
                <w:szCs w:val="20"/>
              </w:rPr>
              <w:t>duha u pojedinačnim i grupnim sportovima, očuvati zdravlje</w:t>
            </w:r>
          </w:p>
        </w:tc>
        <w:tc>
          <w:tcPr>
            <w:tcW w:w="1418" w:type="dxa"/>
            <w:vAlign w:val="center"/>
          </w:tcPr>
          <w:p w:rsidR="00761BBB" w:rsidRPr="00F960B6" w:rsidRDefault="00BD0E4D" w:rsidP="00BD0E4D">
            <w:pPr>
              <w:pStyle w:val="Default"/>
              <w:rPr>
                <w:rFonts w:ascii="Times New Roman" w:hAnsi="Times New Roman" w:cs="Times New Roman"/>
                <w:sz w:val="20"/>
                <w:szCs w:val="20"/>
              </w:rPr>
            </w:pPr>
            <w:r>
              <w:rPr>
                <w:rFonts w:ascii="Times New Roman" w:hAnsi="Times New Roman" w:cs="Times New Roman"/>
                <w:sz w:val="20"/>
                <w:szCs w:val="20"/>
              </w:rPr>
              <w:t>Skupine 5</w:t>
            </w:r>
          </w:p>
          <w:p w:rsidR="00761BBB" w:rsidRPr="00F960B6" w:rsidRDefault="00761BBB" w:rsidP="00761BBB">
            <w:pPr>
              <w:rPr>
                <w:rFonts w:ascii="Times New Roman" w:hAnsi="Times New Roman" w:cs="Times New Roman"/>
                <w:sz w:val="20"/>
                <w:szCs w:val="20"/>
              </w:rPr>
            </w:pPr>
          </w:p>
        </w:tc>
        <w:tc>
          <w:tcPr>
            <w:tcW w:w="1275" w:type="dxa"/>
            <w:vAlign w:val="center"/>
          </w:tcPr>
          <w:p w:rsidR="00761BBB" w:rsidRPr="00F960B6" w:rsidRDefault="00761BBB" w:rsidP="00761BBB">
            <w:pPr>
              <w:jc w:val="center"/>
              <w:rPr>
                <w:rFonts w:ascii="Times New Roman" w:hAnsi="Times New Roman" w:cs="Times New Roman"/>
                <w:sz w:val="20"/>
                <w:szCs w:val="20"/>
              </w:rPr>
            </w:pPr>
            <w:r w:rsidRPr="00F960B6">
              <w:rPr>
                <w:rFonts w:ascii="Times New Roman" w:hAnsi="Times New Roman" w:cs="Times New Roman"/>
                <w:sz w:val="20"/>
                <w:szCs w:val="20"/>
              </w:rPr>
              <w:t>5</w:t>
            </w:r>
          </w:p>
          <w:p w:rsidR="00761BBB" w:rsidRPr="00F960B6" w:rsidRDefault="00761BBB" w:rsidP="00761BBB">
            <w:pPr>
              <w:jc w:val="center"/>
              <w:rPr>
                <w:rFonts w:ascii="Times New Roman" w:hAnsi="Times New Roman" w:cs="Times New Roman"/>
                <w:sz w:val="20"/>
                <w:szCs w:val="20"/>
              </w:rPr>
            </w:pPr>
          </w:p>
        </w:tc>
        <w:tc>
          <w:tcPr>
            <w:tcW w:w="1276" w:type="dxa"/>
            <w:vAlign w:val="center"/>
          </w:tcPr>
          <w:p w:rsidR="00761BBB" w:rsidRPr="00F960B6" w:rsidRDefault="00761BBB" w:rsidP="00761BBB">
            <w:pPr>
              <w:jc w:val="center"/>
              <w:rPr>
                <w:rFonts w:ascii="Times New Roman" w:hAnsi="Times New Roman" w:cs="Times New Roman"/>
                <w:sz w:val="20"/>
                <w:szCs w:val="20"/>
              </w:rPr>
            </w:pPr>
            <w:r w:rsidRPr="00F960B6">
              <w:rPr>
                <w:rFonts w:ascii="Times New Roman" w:hAnsi="Times New Roman" w:cs="Times New Roman"/>
                <w:sz w:val="20"/>
                <w:szCs w:val="20"/>
              </w:rPr>
              <w:t>6</w:t>
            </w:r>
          </w:p>
          <w:p w:rsidR="00761BBB" w:rsidRPr="00F960B6" w:rsidRDefault="00761BBB" w:rsidP="00761BBB">
            <w:pPr>
              <w:jc w:val="center"/>
              <w:rPr>
                <w:rFonts w:ascii="Times New Roman" w:hAnsi="Times New Roman" w:cs="Times New Roman"/>
                <w:sz w:val="20"/>
                <w:szCs w:val="20"/>
              </w:rPr>
            </w:pPr>
          </w:p>
        </w:tc>
        <w:tc>
          <w:tcPr>
            <w:tcW w:w="1276" w:type="dxa"/>
            <w:vAlign w:val="center"/>
          </w:tcPr>
          <w:p w:rsidR="00761BBB" w:rsidRPr="00F960B6" w:rsidRDefault="00761BBB" w:rsidP="00761BBB">
            <w:pPr>
              <w:jc w:val="center"/>
              <w:rPr>
                <w:rFonts w:ascii="Times New Roman" w:hAnsi="Times New Roman" w:cs="Times New Roman"/>
                <w:sz w:val="20"/>
                <w:szCs w:val="20"/>
              </w:rPr>
            </w:pPr>
            <w:r w:rsidRPr="00F960B6">
              <w:rPr>
                <w:rFonts w:ascii="Times New Roman" w:hAnsi="Times New Roman" w:cs="Times New Roman"/>
                <w:sz w:val="20"/>
                <w:szCs w:val="20"/>
              </w:rPr>
              <w:t>7</w:t>
            </w:r>
          </w:p>
          <w:p w:rsidR="00761BBB" w:rsidRPr="00F960B6" w:rsidRDefault="00761BBB" w:rsidP="00761BBB">
            <w:pPr>
              <w:jc w:val="center"/>
              <w:rPr>
                <w:rFonts w:ascii="Times New Roman" w:hAnsi="Times New Roman" w:cs="Times New Roman"/>
                <w:sz w:val="20"/>
                <w:szCs w:val="20"/>
              </w:rPr>
            </w:pPr>
          </w:p>
        </w:tc>
      </w:tr>
      <w:tr w:rsidR="00761BBB" w:rsidRPr="00F960B6" w:rsidTr="00761BBB">
        <w:tc>
          <w:tcPr>
            <w:tcW w:w="1587" w:type="dxa"/>
            <w:vAlign w:val="center"/>
          </w:tcPr>
          <w:p w:rsidR="00761BBB" w:rsidRPr="00F960B6" w:rsidRDefault="00761BBB" w:rsidP="00761BBB">
            <w:pPr>
              <w:pStyle w:val="Default"/>
              <w:rPr>
                <w:rFonts w:ascii="Times New Roman" w:hAnsi="Times New Roman" w:cs="Times New Roman"/>
                <w:sz w:val="20"/>
                <w:szCs w:val="20"/>
              </w:rPr>
            </w:pPr>
            <w:r w:rsidRPr="00F960B6">
              <w:rPr>
                <w:rFonts w:ascii="Times New Roman" w:hAnsi="Times New Roman" w:cs="Times New Roman"/>
                <w:sz w:val="20"/>
                <w:szCs w:val="20"/>
              </w:rPr>
              <w:t>Povećanje broja prva tri mjesta na županijskim i državnim natjecanjima</w:t>
            </w:r>
          </w:p>
        </w:tc>
        <w:tc>
          <w:tcPr>
            <w:tcW w:w="2065" w:type="dxa"/>
            <w:vAlign w:val="center"/>
          </w:tcPr>
          <w:p w:rsidR="00761BBB" w:rsidRPr="00F960B6" w:rsidRDefault="00761BBB" w:rsidP="00761BBB">
            <w:pPr>
              <w:pStyle w:val="Default"/>
              <w:rPr>
                <w:rFonts w:ascii="Times New Roman" w:hAnsi="Times New Roman" w:cs="Times New Roman"/>
                <w:sz w:val="20"/>
                <w:szCs w:val="20"/>
              </w:rPr>
            </w:pPr>
            <w:r w:rsidRPr="00F960B6">
              <w:rPr>
                <w:rFonts w:ascii="Times New Roman" w:hAnsi="Times New Roman" w:cs="Times New Roman"/>
                <w:sz w:val="20"/>
                <w:szCs w:val="20"/>
              </w:rPr>
              <w:t>Poticati samostalnost i kompetencije kroz aktivnosti i testiranje kvalitete rada nastavnika s nadarenim učenicima</w:t>
            </w:r>
          </w:p>
          <w:p w:rsidR="00761BBB" w:rsidRPr="00F960B6" w:rsidRDefault="00761BBB" w:rsidP="00761BBB">
            <w:pPr>
              <w:rPr>
                <w:rFonts w:ascii="Times New Roman" w:hAnsi="Times New Roman" w:cs="Times New Roman"/>
                <w:sz w:val="20"/>
                <w:szCs w:val="20"/>
              </w:rPr>
            </w:pPr>
          </w:p>
        </w:tc>
        <w:tc>
          <w:tcPr>
            <w:tcW w:w="1418" w:type="dxa"/>
            <w:vAlign w:val="center"/>
          </w:tcPr>
          <w:p w:rsidR="00761BBB" w:rsidRPr="00F960B6" w:rsidRDefault="00BD0E4D" w:rsidP="00761BBB">
            <w:pPr>
              <w:pStyle w:val="Default"/>
              <w:rPr>
                <w:rFonts w:ascii="Times New Roman" w:hAnsi="Times New Roman" w:cs="Times New Roman"/>
                <w:sz w:val="20"/>
                <w:szCs w:val="20"/>
              </w:rPr>
            </w:pPr>
            <w:r>
              <w:rPr>
                <w:rFonts w:ascii="Times New Roman" w:hAnsi="Times New Roman" w:cs="Times New Roman"/>
                <w:sz w:val="20"/>
                <w:szCs w:val="20"/>
              </w:rPr>
              <w:t>pojedinačno 7</w:t>
            </w:r>
          </w:p>
          <w:p w:rsidR="00761BBB" w:rsidRPr="00F960B6" w:rsidRDefault="00761BBB" w:rsidP="00761BBB">
            <w:pPr>
              <w:rPr>
                <w:rFonts w:ascii="Times New Roman" w:hAnsi="Times New Roman" w:cs="Times New Roman"/>
                <w:sz w:val="20"/>
                <w:szCs w:val="20"/>
              </w:rPr>
            </w:pPr>
          </w:p>
          <w:p w:rsidR="00761BBB" w:rsidRPr="00F960B6" w:rsidRDefault="00761BBB" w:rsidP="00761BBB">
            <w:pPr>
              <w:rPr>
                <w:rFonts w:ascii="Times New Roman" w:hAnsi="Times New Roman" w:cs="Times New Roman"/>
                <w:sz w:val="20"/>
                <w:szCs w:val="20"/>
              </w:rPr>
            </w:pPr>
          </w:p>
        </w:tc>
        <w:tc>
          <w:tcPr>
            <w:tcW w:w="1275" w:type="dxa"/>
            <w:vAlign w:val="center"/>
          </w:tcPr>
          <w:p w:rsidR="00761BBB" w:rsidRPr="00F960B6" w:rsidRDefault="00E023E1" w:rsidP="00761BBB">
            <w:pPr>
              <w:jc w:val="center"/>
              <w:rPr>
                <w:rFonts w:ascii="Times New Roman" w:hAnsi="Times New Roman" w:cs="Times New Roman"/>
                <w:sz w:val="20"/>
                <w:szCs w:val="20"/>
              </w:rPr>
            </w:pPr>
            <w:r>
              <w:rPr>
                <w:rFonts w:ascii="Times New Roman" w:hAnsi="Times New Roman" w:cs="Times New Roman"/>
                <w:sz w:val="20"/>
                <w:szCs w:val="20"/>
              </w:rPr>
              <w:t>7</w:t>
            </w:r>
          </w:p>
        </w:tc>
        <w:tc>
          <w:tcPr>
            <w:tcW w:w="1276" w:type="dxa"/>
            <w:vAlign w:val="center"/>
          </w:tcPr>
          <w:p w:rsidR="00761BBB" w:rsidRPr="00F960B6" w:rsidRDefault="00E023E1" w:rsidP="00761BBB">
            <w:pPr>
              <w:jc w:val="center"/>
              <w:rPr>
                <w:rFonts w:ascii="Times New Roman" w:hAnsi="Times New Roman" w:cs="Times New Roman"/>
                <w:sz w:val="20"/>
                <w:szCs w:val="20"/>
              </w:rPr>
            </w:pPr>
            <w:r>
              <w:rPr>
                <w:rFonts w:ascii="Times New Roman" w:hAnsi="Times New Roman" w:cs="Times New Roman"/>
                <w:sz w:val="20"/>
                <w:szCs w:val="20"/>
              </w:rPr>
              <w:t>8</w:t>
            </w:r>
          </w:p>
        </w:tc>
        <w:tc>
          <w:tcPr>
            <w:tcW w:w="1276" w:type="dxa"/>
            <w:vAlign w:val="center"/>
          </w:tcPr>
          <w:p w:rsidR="00761BBB" w:rsidRPr="00F960B6" w:rsidRDefault="00E023E1" w:rsidP="00761BBB">
            <w:pPr>
              <w:jc w:val="center"/>
              <w:rPr>
                <w:rFonts w:ascii="Times New Roman" w:hAnsi="Times New Roman" w:cs="Times New Roman"/>
                <w:sz w:val="20"/>
                <w:szCs w:val="20"/>
              </w:rPr>
            </w:pPr>
            <w:r>
              <w:rPr>
                <w:rFonts w:ascii="Times New Roman" w:hAnsi="Times New Roman" w:cs="Times New Roman"/>
                <w:sz w:val="20"/>
                <w:szCs w:val="20"/>
              </w:rPr>
              <w:t>9</w:t>
            </w:r>
          </w:p>
        </w:tc>
      </w:tr>
    </w:tbl>
    <w:p w:rsidR="0017387A" w:rsidRDefault="00F960B6" w:rsidP="0017387A">
      <w:pPr>
        <w:pStyle w:val="Odlomakpopisa"/>
        <w:numPr>
          <w:ilvl w:val="0"/>
          <w:numId w:val="1"/>
        </w:numPr>
        <w:rPr>
          <w:rFonts w:ascii="Times New Roman" w:hAnsi="Times New Roman" w:cs="Times New Roman"/>
          <w:sz w:val="24"/>
        </w:rPr>
      </w:pPr>
      <w:r w:rsidRPr="00F960B6">
        <w:rPr>
          <w:rFonts w:ascii="Times New Roman" w:hAnsi="Times New Roman" w:cs="Times New Roman"/>
          <w:b/>
          <w:sz w:val="24"/>
        </w:rPr>
        <w:t>USKLAĐENOST CILJEVA, STRATEGIJE PROGRAMA S DOKUMENTIMA DUGOROČNOG RAZVOJA</w:t>
      </w:r>
      <w:r w:rsidR="00F8434C" w:rsidRPr="00F960B6">
        <w:rPr>
          <w:rFonts w:ascii="Times New Roman" w:hAnsi="Times New Roman" w:cs="Times New Roman"/>
          <w:sz w:val="24"/>
        </w:rPr>
        <w:br/>
      </w:r>
      <w:r w:rsidR="0040433E" w:rsidRPr="00F960B6">
        <w:rPr>
          <w:rFonts w:ascii="Times New Roman" w:hAnsi="Times New Roman" w:cs="Times New Roman"/>
          <w:sz w:val="24"/>
        </w:rPr>
        <w:br/>
        <w:t>Školske ustanove ne donose strateške, već godišnje operativne planove, prema planu i programu koje je</w:t>
      </w:r>
      <w:r w:rsidR="00B166B5">
        <w:rPr>
          <w:rFonts w:ascii="Times New Roman" w:hAnsi="Times New Roman" w:cs="Times New Roman"/>
          <w:sz w:val="24"/>
        </w:rPr>
        <w:t xml:space="preserve"> donijelo Ministarstvo znanosti i obrazovanja</w:t>
      </w:r>
      <w:r w:rsidR="0040433E" w:rsidRPr="00F960B6">
        <w:rPr>
          <w:rFonts w:ascii="Times New Roman" w:hAnsi="Times New Roman" w:cs="Times New Roman"/>
          <w:sz w:val="24"/>
        </w:rPr>
        <w:t>. Vertikala usklađivanja ciljeva i programa MZO-a jedinice lokalne (regionalne) samouprave-</w:t>
      </w:r>
      <w:r w:rsidR="0017387A" w:rsidRPr="00F960B6">
        <w:rPr>
          <w:rFonts w:ascii="Times New Roman" w:hAnsi="Times New Roman" w:cs="Times New Roman"/>
          <w:sz w:val="24"/>
        </w:rPr>
        <w:t xml:space="preserve">sa školskom </w:t>
      </w:r>
      <w:r w:rsidR="0040433E" w:rsidRPr="00F960B6">
        <w:rPr>
          <w:rFonts w:ascii="Times New Roman" w:hAnsi="Times New Roman" w:cs="Times New Roman"/>
          <w:sz w:val="24"/>
        </w:rPr>
        <w:t>ustanov</w:t>
      </w:r>
      <w:r w:rsidR="0017387A" w:rsidRPr="00F960B6">
        <w:rPr>
          <w:rFonts w:ascii="Times New Roman" w:hAnsi="Times New Roman" w:cs="Times New Roman"/>
          <w:sz w:val="24"/>
        </w:rPr>
        <w:t>om je</w:t>
      </w:r>
      <w:r w:rsidR="0040433E" w:rsidRPr="00F960B6">
        <w:rPr>
          <w:rFonts w:ascii="Times New Roman" w:hAnsi="Times New Roman" w:cs="Times New Roman"/>
          <w:sz w:val="24"/>
        </w:rPr>
        <w:t xml:space="preserve"> provedena</w:t>
      </w:r>
      <w:r w:rsidR="0017387A" w:rsidRPr="00F960B6">
        <w:rPr>
          <w:rFonts w:ascii="Times New Roman" w:hAnsi="Times New Roman" w:cs="Times New Roman"/>
          <w:sz w:val="24"/>
        </w:rPr>
        <w:t xml:space="preserve"> u dodirnim točkama</w:t>
      </w:r>
      <w:r w:rsidR="0040433E" w:rsidRPr="00F960B6">
        <w:rPr>
          <w:rFonts w:ascii="Times New Roman" w:hAnsi="Times New Roman" w:cs="Times New Roman"/>
          <w:sz w:val="24"/>
        </w:rPr>
        <w:t>.</w:t>
      </w:r>
      <w:r w:rsidR="0017387A" w:rsidRPr="00F960B6">
        <w:rPr>
          <w:rFonts w:ascii="Times New Roman" w:hAnsi="Times New Roman" w:cs="Times New Roman"/>
          <w:sz w:val="24"/>
        </w:rPr>
        <w:br/>
      </w:r>
      <w:r w:rsidR="0017387A" w:rsidRPr="00F960B6">
        <w:rPr>
          <w:rFonts w:ascii="Times New Roman" w:hAnsi="Times New Roman" w:cs="Times New Roman"/>
          <w:sz w:val="23"/>
          <w:szCs w:val="23"/>
        </w:rPr>
        <w:t>Nastavni planovi se odnose za nastavnu godinu a ne za fiskalnu. Uzrok mnogim odstupanjima u izvršenju financijskog plana, odnosno pomak određenih aktivnosti iz jednog u drugo polugodište uzrokuje promjene izvršenja financijskog plana za 2 godine.</w:t>
      </w:r>
      <w:r w:rsidR="0017387A" w:rsidRPr="00F960B6">
        <w:rPr>
          <w:rFonts w:ascii="Times New Roman" w:hAnsi="Times New Roman" w:cs="Times New Roman"/>
          <w:sz w:val="23"/>
          <w:szCs w:val="23"/>
        </w:rPr>
        <w:br/>
      </w:r>
      <w:r w:rsidR="0017387A" w:rsidRPr="00F960B6">
        <w:rPr>
          <w:rFonts w:ascii="Times New Roman" w:hAnsi="Times New Roman" w:cs="Times New Roman"/>
          <w:sz w:val="23"/>
          <w:szCs w:val="23"/>
        </w:rPr>
        <w:br/>
      </w:r>
    </w:p>
    <w:p w:rsidR="00761BBB" w:rsidRDefault="00761BBB" w:rsidP="00F960B6">
      <w:pPr>
        <w:pStyle w:val="Odlomakpopisa"/>
        <w:rPr>
          <w:rFonts w:ascii="Times New Roman" w:hAnsi="Times New Roman" w:cs="Times New Roman"/>
          <w:b/>
          <w:sz w:val="24"/>
        </w:rPr>
      </w:pPr>
    </w:p>
    <w:p w:rsidR="00580819" w:rsidRDefault="00580819" w:rsidP="00F960B6">
      <w:pPr>
        <w:pStyle w:val="Odlomakpopisa"/>
        <w:rPr>
          <w:rFonts w:ascii="Times New Roman" w:hAnsi="Times New Roman" w:cs="Times New Roman"/>
          <w:b/>
          <w:sz w:val="24"/>
        </w:rPr>
      </w:pPr>
    </w:p>
    <w:p w:rsidR="00580819" w:rsidRPr="00F960B6" w:rsidRDefault="00580819" w:rsidP="00F960B6">
      <w:pPr>
        <w:pStyle w:val="Odlomakpopisa"/>
        <w:rPr>
          <w:rFonts w:ascii="Times New Roman" w:hAnsi="Times New Roman" w:cs="Times New Roman"/>
          <w:b/>
          <w:sz w:val="24"/>
        </w:rPr>
      </w:pPr>
    </w:p>
    <w:p w:rsidR="00F960B6" w:rsidRPr="00F960B6" w:rsidRDefault="00F960B6" w:rsidP="00F960B6">
      <w:pPr>
        <w:pStyle w:val="Odlomakpopisa"/>
        <w:numPr>
          <w:ilvl w:val="0"/>
          <w:numId w:val="1"/>
        </w:numPr>
        <w:rPr>
          <w:rFonts w:ascii="Times New Roman" w:hAnsi="Times New Roman" w:cs="Times New Roman"/>
          <w:b/>
          <w:sz w:val="24"/>
        </w:rPr>
      </w:pPr>
      <w:r w:rsidRPr="00F960B6">
        <w:rPr>
          <w:rFonts w:ascii="Times New Roman" w:hAnsi="Times New Roman" w:cs="Times New Roman"/>
          <w:b/>
          <w:sz w:val="24"/>
        </w:rPr>
        <w:lastRenderedPageBreak/>
        <w:t xml:space="preserve">ISHODIŠTA I POKAZATELJI NA KOJIMA SE ZASNIVAJU IZRAČUNI I OCJENE POTEBNIH SREDSTAVA ZA PROVOĐENJE PROGRAMA </w:t>
      </w:r>
    </w:p>
    <w:p w:rsidR="00F960B6" w:rsidRDefault="00F960B6" w:rsidP="00F960B6">
      <w:pPr>
        <w:pStyle w:val="Default"/>
        <w:ind w:left="720"/>
      </w:pPr>
    </w:p>
    <w:p w:rsidR="00515031" w:rsidRPr="00590A76" w:rsidRDefault="00515031" w:rsidP="00515031">
      <w:pPr>
        <w:rPr>
          <w:b/>
          <w:sz w:val="24"/>
          <w:szCs w:val="24"/>
        </w:rPr>
      </w:pPr>
    </w:p>
    <w:p w:rsidR="00515031" w:rsidRDefault="00515031" w:rsidP="00515031">
      <w:pPr>
        <w:rPr>
          <w:sz w:val="24"/>
          <w:szCs w:val="24"/>
        </w:rPr>
      </w:pPr>
      <w:r w:rsidRPr="00590A76">
        <w:rPr>
          <w:sz w:val="24"/>
          <w:szCs w:val="24"/>
        </w:rPr>
        <w:t>Izvori</w:t>
      </w:r>
      <w:r>
        <w:rPr>
          <w:sz w:val="24"/>
          <w:szCs w:val="24"/>
        </w:rPr>
        <w:t xml:space="preserve"> sredstava za financiranje rada škole su :</w:t>
      </w:r>
    </w:p>
    <w:p w:rsidR="00515031" w:rsidRDefault="00515031" w:rsidP="00515031">
      <w:pPr>
        <w:rPr>
          <w:b/>
          <w:sz w:val="24"/>
          <w:szCs w:val="24"/>
        </w:rPr>
      </w:pPr>
      <w:r>
        <w:rPr>
          <w:sz w:val="24"/>
          <w:szCs w:val="24"/>
        </w:rPr>
        <w:t xml:space="preserve">    </w:t>
      </w:r>
      <w:r w:rsidRPr="0005369D">
        <w:rPr>
          <w:sz w:val="24"/>
          <w:szCs w:val="24"/>
        </w:rPr>
        <w:t xml:space="preserve"> -</w:t>
      </w:r>
      <w:r>
        <w:rPr>
          <w:b/>
          <w:sz w:val="24"/>
          <w:szCs w:val="24"/>
        </w:rPr>
        <w:t xml:space="preserve">     A)</w:t>
      </w:r>
      <w:r w:rsidR="00276827">
        <w:rPr>
          <w:b/>
          <w:sz w:val="24"/>
          <w:szCs w:val="24"/>
        </w:rPr>
        <w:t>Skupina konta 636</w:t>
      </w:r>
      <w:r w:rsidRPr="0005369D">
        <w:rPr>
          <w:b/>
          <w:sz w:val="24"/>
          <w:szCs w:val="24"/>
        </w:rPr>
        <w:t xml:space="preserve">, </w:t>
      </w:r>
      <w:r w:rsidR="00276827">
        <w:rPr>
          <w:b/>
          <w:sz w:val="24"/>
          <w:szCs w:val="24"/>
        </w:rPr>
        <w:t xml:space="preserve"> pomoć</w:t>
      </w:r>
      <w:r>
        <w:rPr>
          <w:b/>
          <w:sz w:val="24"/>
          <w:szCs w:val="24"/>
        </w:rPr>
        <w:t>i</w:t>
      </w:r>
      <w:r w:rsidR="00276827">
        <w:rPr>
          <w:b/>
          <w:sz w:val="24"/>
          <w:szCs w:val="24"/>
        </w:rPr>
        <w:t xml:space="preserve"> iz nenadležnog</w:t>
      </w:r>
      <w:r>
        <w:rPr>
          <w:b/>
          <w:sz w:val="24"/>
          <w:szCs w:val="24"/>
        </w:rPr>
        <w:t xml:space="preserve"> proračun</w:t>
      </w:r>
      <w:r w:rsidR="00276827">
        <w:rPr>
          <w:b/>
          <w:sz w:val="24"/>
          <w:szCs w:val="24"/>
        </w:rPr>
        <w:t>a</w:t>
      </w:r>
      <w:r>
        <w:rPr>
          <w:b/>
          <w:sz w:val="24"/>
          <w:szCs w:val="24"/>
        </w:rPr>
        <w:t xml:space="preserve"> (MZO) </w:t>
      </w:r>
      <w:r>
        <w:rPr>
          <w:sz w:val="24"/>
          <w:szCs w:val="24"/>
        </w:rPr>
        <w:t>za financiranje rashoda zaposlenih radnika</w:t>
      </w:r>
    </w:p>
    <w:p w:rsidR="00515031" w:rsidRPr="0005369D" w:rsidRDefault="00515031" w:rsidP="00515031">
      <w:pPr>
        <w:rPr>
          <w:sz w:val="24"/>
          <w:szCs w:val="24"/>
        </w:rPr>
      </w:pPr>
      <w:r>
        <w:rPr>
          <w:b/>
          <w:sz w:val="24"/>
          <w:szCs w:val="24"/>
        </w:rPr>
        <w:t xml:space="preserve">Prihodi iz državnog </w:t>
      </w:r>
      <w:r w:rsidRPr="0005369D">
        <w:rPr>
          <w:b/>
          <w:sz w:val="24"/>
          <w:szCs w:val="24"/>
        </w:rPr>
        <w:t xml:space="preserve"> proračun</w:t>
      </w:r>
      <w:r>
        <w:rPr>
          <w:b/>
          <w:sz w:val="24"/>
          <w:szCs w:val="24"/>
        </w:rPr>
        <w:t>a -</w:t>
      </w:r>
      <w:r>
        <w:rPr>
          <w:sz w:val="24"/>
          <w:szCs w:val="24"/>
        </w:rPr>
        <w:t xml:space="preserve">  Prihodi nisu planirani isključivo u skladu s propisanim indeksom rasta za tu vrstu rashoda, jer je bilo potrebno uzeti u obzir povećanje izdataka zbog povećanja dodataka na staž (0,5% po godini staža), što je uključeno u indeks te dodataka na plaću prema Aneksu Kolektivnog ugovora</w:t>
      </w:r>
      <w:r w:rsidR="00580819">
        <w:rPr>
          <w:sz w:val="24"/>
          <w:szCs w:val="24"/>
        </w:rPr>
        <w:t>.</w:t>
      </w:r>
      <w:r>
        <w:rPr>
          <w:sz w:val="24"/>
          <w:szCs w:val="24"/>
        </w:rPr>
        <w:t xml:space="preserve">   Ostali troškovi za zaposlene: kao </w:t>
      </w:r>
      <w:proofErr w:type="spellStart"/>
      <w:r>
        <w:rPr>
          <w:sz w:val="24"/>
          <w:szCs w:val="24"/>
        </w:rPr>
        <w:t>naprimjer</w:t>
      </w:r>
      <w:proofErr w:type="spellEnd"/>
      <w:r>
        <w:rPr>
          <w:sz w:val="24"/>
          <w:szCs w:val="24"/>
        </w:rPr>
        <w:t>. dar djeci- planirani su na osnovu sadašnjeg stanja. Statistički , svake godine imamo i izdatke za pomoć za bolovanje, smrtni slučaj,</w:t>
      </w:r>
      <w:r w:rsidR="00BA2872">
        <w:rPr>
          <w:sz w:val="24"/>
          <w:szCs w:val="24"/>
        </w:rPr>
        <w:t xml:space="preserve"> potpore za rođenje djeteta,</w:t>
      </w:r>
      <w:r>
        <w:rPr>
          <w:sz w:val="24"/>
          <w:szCs w:val="24"/>
        </w:rPr>
        <w:t xml:space="preserve"> za jubilarne nagrade ( ovisno o broju zaposlenih koji navrše godine radnog staža potrebne za ugovorenu isplatu). Planiramo i trošak otpremnine. Brojča</w:t>
      </w:r>
      <w:r w:rsidR="000D7EC9">
        <w:rPr>
          <w:sz w:val="24"/>
          <w:szCs w:val="24"/>
        </w:rPr>
        <w:t>ni pokazatelji su u tablicama Prava po kolektivnom ugovoru i predviđeni prihodi od MZO za zaposlene koji se nalaze u mapi Financijski plan 201</w:t>
      </w:r>
      <w:r w:rsidR="00B166B5">
        <w:rPr>
          <w:sz w:val="24"/>
          <w:szCs w:val="24"/>
        </w:rPr>
        <w:t>8</w:t>
      </w:r>
      <w:r w:rsidR="00276827">
        <w:rPr>
          <w:sz w:val="24"/>
          <w:szCs w:val="24"/>
        </w:rPr>
        <w:t xml:space="preserve"> – 20</w:t>
      </w:r>
      <w:r w:rsidR="00B166B5">
        <w:rPr>
          <w:sz w:val="24"/>
          <w:szCs w:val="24"/>
        </w:rPr>
        <w:t>20</w:t>
      </w:r>
      <w:r w:rsidR="000D7EC9">
        <w:rPr>
          <w:sz w:val="24"/>
          <w:szCs w:val="24"/>
        </w:rPr>
        <w:t>.</w:t>
      </w:r>
    </w:p>
    <w:p w:rsidR="00515031" w:rsidRPr="0005369D" w:rsidRDefault="00515031" w:rsidP="00515031">
      <w:pPr>
        <w:pStyle w:val="Odlomakpopisa"/>
        <w:numPr>
          <w:ilvl w:val="0"/>
          <w:numId w:val="5"/>
        </w:numPr>
        <w:rPr>
          <w:sz w:val="24"/>
          <w:szCs w:val="24"/>
        </w:rPr>
      </w:pPr>
      <w:r>
        <w:rPr>
          <w:b/>
          <w:sz w:val="24"/>
          <w:szCs w:val="24"/>
        </w:rPr>
        <w:t>B)</w:t>
      </w:r>
      <w:r w:rsidRPr="0005369D">
        <w:rPr>
          <w:b/>
          <w:sz w:val="24"/>
          <w:szCs w:val="24"/>
        </w:rPr>
        <w:t>Opći prihodi i primitci, skupina 671, regionalni proračun</w:t>
      </w:r>
      <w:r>
        <w:rPr>
          <w:b/>
          <w:sz w:val="24"/>
          <w:szCs w:val="24"/>
        </w:rPr>
        <w:t xml:space="preserve"> </w:t>
      </w:r>
      <w:r w:rsidRPr="0005369D">
        <w:rPr>
          <w:sz w:val="24"/>
          <w:szCs w:val="24"/>
        </w:rPr>
        <w:t>za materijalne i financijske troškove poslovanja te održavanje i obnovu nefinancijske imovine,</w:t>
      </w:r>
    </w:p>
    <w:p w:rsidR="00515031" w:rsidRDefault="00515031" w:rsidP="00515031">
      <w:pPr>
        <w:rPr>
          <w:sz w:val="24"/>
          <w:szCs w:val="24"/>
        </w:rPr>
      </w:pPr>
      <w:r>
        <w:rPr>
          <w:b/>
          <w:sz w:val="24"/>
          <w:szCs w:val="24"/>
        </w:rPr>
        <w:t>Prihodi od Županije</w:t>
      </w:r>
      <w:r>
        <w:rPr>
          <w:sz w:val="24"/>
          <w:szCs w:val="24"/>
        </w:rPr>
        <w:t xml:space="preserve">  - Prihode za financiranje rashoda, koji se financiraju minimalnim standardima, planirali smo primjenom financijskih pokazatelja iz Upute za izradu proračuna što znači kako smo primijenili zadane indekse. Od tako dobivenih vrijednosti prihoda prvo smo predvidjeli „fiksne rashode“ koji se planiraju na osnovi potrošnje tekuće godine, tj. Troškove energije, zdravstveni pregledi zaposlenih ugovorenih Kolektivnim ugovorom za zaposlene u osnovnoškolskim ustanovama, rashodi za prijevoz učenika iz područnih škola i sl. rashode za investicijsko održavanje koji su namjenski rashodi i ostvaruju se prema broju učenika, odjeljenja, područnih škola i za zgrade, planirali smo slično prošloj godini. U rashodima iz kategorije općih troškova prvo smo planirali „obvezna“ rashode za komunalne usluge (voda, smeće), rashode za telefon i ostale mjesečne režije. Nakon toga planiramo ostale troškove prema prioritetima funkcioniranja škole.</w:t>
      </w:r>
    </w:p>
    <w:p w:rsidR="00515031" w:rsidRPr="0005369D" w:rsidRDefault="00515031" w:rsidP="00515031">
      <w:r>
        <w:rPr>
          <w:sz w:val="24"/>
          <w:szCs w:val="24"/>
        </w:rPr>
        <w:t xml:space="preserve">   Plan razvojnih programa nije sačinjen, jer za njega nisu osigurana sredstva. Naime, osnivač nam osigurava sredstva za tekuće i investicijsko održavanje samo u okviru minimalnog standarda. Nismo uključeni u druge projekte</w:t>
      </w:r>
    </w:p>
    <w:p w:rsidR="00515031" w:rsidRPr="0005369D" w:rsidRDefault="00515031" w:rsidP="00515031">
      <w:pPr>
        <w:pStyle w:val="Odlomakpopisa"/>
        <w:numPr>
          <w:ilvl w:val="0"/>
          <w:numId w:val="5"/>
        </w:numPr>
        <w:rPr>
          <w:sz w:val="24"/>
          <w:szCs w:val="24"/>
        </w:rPr>
      </w:pPr>
      <w:r w:rsidRPr="0005369D">
        <w:rPr>
          <w:sz w:val="24"/>
          <w:szCs w:val="24"/>
        </w:rPr>
        <w:t xml:space="preserve"> </w:t>
      </w:r>
      <w:r w:rsidRPr="0005369D">
        <w:rPr>
          <w:b/>
          <w:sz w:val="24"/>
          <w:szCs w:val="24"/>
        </w:rPr>
        <w:t>C) Vlastiti i ostali prihodi</w:t>
      </w:r>
      <w:r w:rsidRPr="0005369D">
        <w:rPr>
          <w:sz w:val="24"/>
          <w:szCs w:val="24"/>
        </w:rPr>
        <w:t xml:space="preserve"> - Prihodi od roditelja učenika za prehranu učenika u školskoj kuhinji, osiguranje učenika, kazališne predstave i sl.- nam</w:t>
      </w:r>
      <w:r w:rsidR="00BA2872">
        <w:rPr>
          <w:sz w:val="24"/>
          <w:szCs w:val="24"/>
        </w:rPr>
        <w:t>i</w:t>
      </w:r>
      <w:r w:rsidRPr="0005369D">
        <w:rPr>
          <w:sz w:val="24"/>
          <w:szCs w:val="24"/>
        </w:rPr>
        <w:t xml:space="preserve">jenjeni isključivo za pobrojane troškove; prihodi od škola - vezani za natjecanja učenika i sl.,  Prihodi od Agencije za odgoj i obrazovanje – za državna natjecanja i za županijska stručna vijeća,  prihodi od turističkih agencija za dnevnice učiteljima za pratnju učenika na izletima i </w:t>
      </w:r>
      <w:r w:rsidRPr="0005369D">
        <w:rPr>
          <w:sz w:val="24"/>
          <w:szCs w:val="24"/>
        </w:rPr>
        <w:lastRenderedPageBreak/>
        <w:t xml:space="preserve">ekskurzijama, te prihodi od iznajmljivanja </w:t>
      </w:r>
      <w:r w:rsidR="00BA2872">
        <w:rPr>
          <w:sz w:val="24"/>
          <w:szCs w:val="24"/>
        </w:rPr>
        <w:t>prostora – skupine</w:t>
      </w:r>
      <w:r w:rsidRPr="0005369D">
        <w:rPr>
          <w:sz w:val="24"/>
          <w:szCs w:val="24"/>
        </w:rPr>
        <w:t xml:space="preserve"> 661 – za provedbu dodatnih aktivnosti škole prema planu i programu rada te obnovu nefinancijske imovine.</w:t>
      </w:r>
    </w:p>
    <w:p w:rsidR="00515031" w:rsidRDefault="00515031" w:rsidP="00515031">
      <w:pPr>
        <w:rPr>
          <w:sz w:val="24"/>
          <w:szCs w:val="24"/>
        </w:rPr>
      </w:pPr>
    </w:p>
    <w:p w:rsidR="00515031" w:rsidRDefault="00515031" w:rsidP="00515031">
      <w:pPr>
        <w:rPr>
          <w:sz w:val="24"/>
          <w:szCs w:val="24"/>
        </w:rPr>
      </w:pPr>
      <w:r>
        <w:rPr>
          <w:sz w:val="24"/>
          <w:szCs w:val="24"/>
        </w:rPr>
        <w:t xml:space="preserve">       S obzirom da Vlada Republike Hrvatske nije donijela Odluke o minimalnim standardima za financiranje decentraliziranih funkcija za 201</w:t>
      </w:r>
      <w:r w:rsidR="00BA2872">
        <w:rPr>
          <w:sz w:val="24"/>
          <w:szCs w:val="24"/>
        </w:rPr>
        <w:t>8</w:t>
      </w:r>
      <w:r>
        <w:rPr>
          <w:sz w:val="24"/>
          <w:szCs w:val="24"/>
        </w:rPr>
        <w:t>. godinu,</w:t>
      </w:r>
      <w:r w:rsidR="00276827">
        <w:rPr>
          <w:sz w:val="24"/>
          <w:szCs w:val="24"/>
        </w:rPr>
        <w:t xml:space="preserve"> s obzirom na 201</w:t>
      </w:r>
      <w:r w:rsidR="00BA2872">
        <w:rPr>
          <w:sz w:val="24"/>
          <w:szCs w:val="24"/>
        </w:rPr>
        <w:t>7</w:t>
      </w:r>
      <w:r w:rsidR="00276827">
        <w:rPr>
          <w:sz w:val="24"/>
          <w:szCs w:val="24"/>
        </w:rPr>
        <w:t>. -</w:t>
      </w:r>
      <w:r>
        <w:rPr>
          <w:sz w:val="24"/>
          <w:szCs w:val="24"/>
        </w:rPr>
        <w:t xml:space="preserve"> </w:t>
      </w:r>
      <w:r w:rsidRPr="00590A76">
        <w:rPr>
          <w:b/>
          <w:sz w:val="24"/>
          <w:szCs w:val="24"/>
        </w:rPr>
        <w:t>materijalne i financijske rashode i izdatke</w:t>
      </w:r>
      <w:r>
        <w:rPr>
          <w:sz w:val="24"/>
          <w:szCs w:val="24"/>
        </w:rPr>
        <w:t xml:space="preserve"> kao proračunski korisnici u sklopu funkcija koje se decentraliziraju primjenjivali smo financijske pokazatelje dane tablicom u nastavku:</w:t>
      </w:r>
    </w:p>
    <w:p w:rsidR="00515031" w:rsidRDefault="00515031" w:rsidP="00515031">
      <w:pPr>
        <w:rPr>
          <w:sz w:val="24"/>
          <w:szCs w:val="24"/>
        </w:rPr>
      </w:pPr>
    </w:p>
    <w:tbl>
      <w:tblPr>
        <w:tblStyle w:val="Reetkatablice"/>
        <w:tblW w:w="0" w:type="auto"/>
        <w:tblLook w:val="04A0" w:firstRow="1" w:lastRow="0" w:firstColumn="1" w:lastColumn="0" w:noHBand="0" w:noVBand="1"/>
      </w:tblPr>
      <w:tblGrid>
        <w:gridCol w:w="3563"/>
        <w:gridCol w:w="1934"/>
        <w:gridCol w:w="1797"/>
        <w:gridCol w:w="1766"/>
      </w:tblGrid>
      <w:tr w:rsidR="00515031" w:rsidTr="007E42E4">
        <w:tc>
          <w:tcPr>
            <w:tcW w:w="3652" w:type="dxa"/>
          </w:tcPr>
          <w:p w:rsidR="00515031" w:rsidRPr="008E0CD5" w:rsidRDefault="00515031" w:rsidP="007E42E4">
            <w:pPr>
              <w:rPr>
                <w:b/>
                <w:sz w:val="24"/>
                <w:szCs w:val="24"/>
              </w:rPr>
            </w:pPr>
            <w:r w:rsidRPr="008E0CD5">
              <w:rPr>
                <w:b/>
                <w:sz w:val="24"/>
                <w:szCs w:val="24"/>
              </w:rPr>
              <w:t>RASHODI</w:t>
            </w:r>
          </w:p>
        </w:tc>
        <w:tc>
          <w:tcPr>
            <w:tcW w:w="1985" w:type="dxa"/>
          </w:tcPr>
          <w:p w:rsidR="00515031" w:rsidRPr="008E0CD5" w:rsidRDefault="00515031" w:rsidP="00276827">
            <w:pPr>
              <w:jc w:val="center"/>
              <w:rPr>
                <w:b/>
                <w:sz w:val="24"/>
                <w:szCs w:val="24"/>
              </w:rPr>
            </w:pPr>
            <w:r>
              <w:rPr>
                <w:b/>
                <w:sz w:val="24"/>
                <w:szCs w:val="24"/>
              </w:rPr>
              <w:t>201</w:t>
            </w:r>
            <w:r w:rsidR="00276827">
              <w:rPr>
                <w:b/>
                <w:sz w:val="24"/>
                <w:szCs w:val="24"/>
              </w:rPr>
              <w:t>7</w:t>
            </w:r>
            <w:r w:rsidRPr="008E0CD5">
              <w:rPr>
                <w:b/>
                <w:sz w:val="24"/>
                <w:szCs w:val="24"/>
              </w:rPr>
              <w:t>.</w:t>
            </w:r>
          </w:p>
        </w:tc>
        <w:tc>
          <w:tcPr>
            <w:tcW w:w="1842" w:type="dxa"/>
          </w:tcPr>
          <w:p w:rsidR="00515031" w:rsidRPr="008E0CD5" w:rsidRDefault="00515031" w:rsidP="00276827">
            <w:pPr>
              <w:jc w:val="center"/>
              <w:rPr>
                <w:b/>
                <w:sz w:val="24"/>
                <w:szCs w:val="24"/>
              </w:rPr>
            </w:pPr>
            <w:r w:rsidRPr="008E0CD5">
              <w:rPr>
                <w:b/>
                <w:sz w:val="24"/>
                <w:szCs w:val="24"/>
              </w:rPr>
              <w:t>201</w:t>
            </w:r>
            <w:r w:rsidR="00276827">
              <w:rPr>
                <w:b/>
                <w:sz w:val="24"/>
                <w:szCs w:val="24"/>
              </w:rPr>
              <w:t>8</w:t>
            </w:r>
            <w:r w:rsidRPr="008E0CD5">
              <w:rPr>
                <w:b/>
                <w:sz w:val="24"/>
                <w:szCs w:val="24"/>
              </w:rPr>
              <w:t>.</w:t>
            </w:r>
          </w:p>
        </w:tc>
        <w:tc>
          <w:tcPr>
            <w:tcW w:w="1809" w:type="dxa"/>
          </w:tcPr>
          <w:p w:rsidR="00515031" w:rsidRPr="008E0CD5" w:rsidRDefault="00515031" w:rsidP="00276827">
            <w:pPr>
              <w:jc w:val="center"/>
              <w:rPr>
                <w:b/>
                <w:sz w:val="24"/>
                <w:szCs w:val="24"/>
              </w:rPr>
            </w:pPr>
            <w:r w:rsidRPr="008E0CD5">
              <w:rPr>
                <w:b/>
                <w:sz w:val="24"/>
                <w:szCs w:val="24"/>
              </w:rPr>
              <w:t>201</w:t>
            </w:r>
            <w:r w:rsidR="00276827">
              <w:rPr>
                <w:b/>
                <w:sz w:val="24"/>
                <w:szCs w:val="24"/>
              </w:rPr>
              <w:t>9</w:t>
            </w:r>
            <w:r w:rsidRPr="008E0CD5">
              <w:rPr>
                <w:b/>
                <w:sz w:val="24"/>
                <w:szCs w:val="24"/>
              </w:rPr>
              <w:t>.</w:t>
            </w:r>
          </w:p>
        </w:tc>
      </w:tr>
      <w:tr w:rsidR="00515031" w:rsidTr="007E42E4">
        <w:tc>
          <w:tcPr>
            <w:tcW w:w="3652" w:type="dxa"/>
          </w:tcPr>
          <w:p w:rsidR="00515031" w:rsidRDefault="00515031" w:rsidP="007E42E4">
            <w:pPr>
              <w:rPr>
                <w:sz w:val="24"/>
                <w:szCs w:val="24"/>
              </w:rPr>
            </w:pPr>
            <w:r>
              <w:rPr>
                <w:sz w:val="24"/>
                <w:szCs w:val="24"/>
              </w:rPr>
              <w:t>Rashodi za zaposlene</w:t>
            </w:r>
          </w:p>
        </w:tc>
        <w:tc>
          <w:tcPr>
            <w:tcW w:w="1985" w:type="dxa"/>
          </w:tcPr>
          <w:p w:rsidR="00515031" w:rsidRDefault="00515031" w:rsidP="007E42E4">
            <w:pPr>
              <w:jc w:val="center"/>
              <w:rPr>
                <w:sz w:val="24"/>
                <w:szCs w:val="24"/>
              </w:rPr>
            </w:pPr>
            <w:r>
              <w:rPr>
                <w:sz w:val="24"/>
                <w:szCs w:val="24"/>
              </w:rPr>
              <w:t>100,0</w:t>
            </w:r>
          </w:p>
        </w:tc>
        <w:tc>
          <w:tcPr>
            <w:tcW w:w="1842" w:type="dxa"/>
          </w:tcPr>
          <w:p w:rsidR="00515031" w:rsidRDefault="00515031" w:rsidP="007E42E4">
            <w:pPr>
              <w:jc w:val="center"/>
              <w:rPr>
                <w:sz w:val="24"/>
                <w:szCs w:val="24"/>
              </w:rPr>
            </w:pPr>
            <w:r>
              <w:rPr>
                <w:sz w:val="24"/>
                <w:szCs w:val="24"/>
              </w:rPr>
              <w:t>100,0</w:t>
            </w:r>
          </w:p>
        </w:tc>
        <w:tc>
          <w:tcPr>
            <w:tcW w:w="1809" w:type="dxa"/>
          </w:tcPr>
          <w:p w:rsidR="00515031" w:rsidRDefault="00515031" w:rsidP="007E42E4">
            <w:pPr>
              <w:jc w:val="center"/>
              <w:rPr>
                <w:sz w:val="24"/>
                <w:szCs w:val="24"/>
              </w:rPr>
            </w:pPr>
            <w:r>
              <w:rPr>
                <w:sz w:val="24"/>
                <w:szCs w:val="24"/>
              </w:rPr>
              <w:t>100,0</w:t>
            </w:r>
          </w:p>
        </w:tc>
      </w:tr>
      <w:tr w:rsidR="00515031" w:rsidTr="007E42E4">
        <w:tc>
          <w:tcPr>
            <w:tcW w:w="3652" w:type="dxa"/>
          </w:tcPr>
          <w:p w:rsidR="00515031" w:rsidRDefault="00515031" w:rsidP="007E42E4">
            <w:pPr>
              <w:rPr>
                <w:sz w:val="24"/>
                <w:szCs w:val="24"/>
              </w:rPr>
            </w:pPr>
            <w:r>
              <w:rPr>
                <w:sz w:val="24"/>
                <w:szCs w:val="24"/>
              </w:rPr>
              <w:t>Materijalni rashodi</w:t>
            </w:r>
          </w:p>
        </w:tc>
        <w:tc>
          <w:tcPr>
            <w:tcW w:w="1985" w:type="dxa"/>
          </w:tcPr>
          <w:p w:rsidR="00515031" w:rsidRDefault="00515031" w:rsidP="00767B29">
            <w:pPr>
              <w:jc w:val="center"/>
              <w:rPr>
                <w:sz w:val="24"/>
                <w:szCs w:val="24"/>
              </w:rPr>
            </w:pPr>
            <w:r>
              <w:rPr>
                <w:sz w:val="24"/>
                <w:szCs w:val="24"/>
              </w:rPr>
              <w:t>10</w:t>
            </w:r>
            <w:r w:rsidR="00767B29">
              <w:rPr>
                <w:sz w:val="24"/>
                <w:szCs w:val="24"/>
              </w:rPr>
              <w:t>2</w:t>
            </w:r>
            <w:r>
              <w:rPr>
                <w:sz w:val="24"/>
                <w:szCs w:val="24"/>
              </w:rPr>
              <w:t>,0</w:t>
            </w:r>
          </w:p>
        </w:tc>
        <w:tc>
          <w:tcPr>
            <w:tcW w:w="1842" w:type="dxa"/>
          </w:tcPr>
          <w:p w:rsidR="00515031" w:rsidRDefault="00515031" w:rsidP="00767B29">
            <w:pPr>
              <w:jc w:val="center"/>
              <w:rPr>
                <w:sz w:val="24"/>
                <w:szCs w:val="24"/>
              </w:rPr>
            </w:pPr>
            <w:r>
              <w:rPr>
                <w:sz w:val="24"/>
                <w:szCs w:val="24"/>
              </w:rPr>
              <w:t>10</w:t>
            </w:r>
            <w:r w:rsidR="00767B29">
              <w:rPr>
                <w:sz w:val="24"/>
                <w:szCs w:val="24"/>
              </w:rPr>
              <w:t>2</w:t>
            </w:r>
            <w:r>
              <w:rPr>
                <w:sz w:val="24"/>
                <w:szCs w:val="24"/>
              </w:rPr>
              <w:t>,0</w:t>
            </w:r>
          </w:p>
        </w:tc>
        <w:tc>
          <w:tcPr>
            <w:tcW w:w="1809" w:type="dxa"/>
          </w:tcPr>
          <w:p w:rsidR="00515031" w:rsidRDefault="00515031" w:rsidP="00767B29">
            <w:pPr>
              <w:jc w:val="center"/>
              <w:rPr>
                <w:sz w:val="24"/>
                <w:szCs w:val="24"/>
              </w:rPr>
            </w:pPr>
            <w:r>
              <w:rPr>
                <w:sz w:val="24"/>
                <w:szCs w:val="24"/>
              </w:rPr>
              <w:t>10</w:t>
            </w:r>
            <w:r w:rsidR="00767B29">
              <w:rPr>
                <w:sz w:val="24"/>
                <w:szCs w:val="24"/>
              </w:rPr>
              <w:t>2</w:t>
            </w:r>
            <w:r>
              <w:rPr>
                <w:sz w:val="24"/>
                <w:szCs w:val="24"/>
              </w:rPr>
              <w:t>,0</w:t>
            </w:r>
          </w:p>
        </w:tc>
      </w:tr>
      <w:tr w:rsidR="00515031" w:rsidTr="007E42E4">
        <w:tc>
          <w:tcPr>
            <w:tcW w:w="3652" w:type="dxa"/>
          </w:tcPr>
          <w:p w:rsidR="00515031" w:rsidRDefault="00515031" w:rsidP="007E42E4">
            <w:pPr>
              <w:rPr>
                <w:sz w:val="24"/>
                <w:szCs w:val="24"/>
              </w:rPr>
            </w:pPr>
            <w:r>
              <w:rPr>
                <w:sz w:val="24"/>
                <w:szCs w:val="24"/>
              </w:rPr>
              <w:t>Rashodi za nabavu nefinancijske dugotrajne imovine</w:t>
            </w:r>
          </w:p>
        </w:tc>
        <w:tc>
          <w:tcPr>
            <w:tcW w:w="1985" w:type="dxa"/>
          </w:tcPr>
          <w:p w:rsidR="00515031" w:rsidRDefault="00515031" w:rsidP="007E42E4">
            <w:pPr>
              <w:jc w:val="center"/>
              <w:rPr>
                <w:sz w:val="24"/>
                <w:szCs w:val="24"/>
              </w:rPr>
            </w:pPr>
            <w:r>
              <w:rPr>
                <w:sz w:val="24"/>
                <w:szCs w:val="24"/>
              </w:rPr>
              <w:t>100,0</w:t>
            </w:r>
          </w:p>
        </w:tc>
        <w:tc>
          <w:tcPr>
            <w:tcW w:w="1842" w:type="dxa"/>
          </w:tcPr>
          <w:p w:rsidR="00515031" w:rsidRDefault="00515031" w:rsidP="007E42E4">
            <w:pPr>
              <w:jc w:val="center"/>
              <w:rPr>
                <w:sz w:val="24"/>
                <w:szCs w:val="24"/>
              </w:rPr>
            </w:pPr>
            <w:r>
              <w:rPr>
                <w:sz w:val="24"/>
                <w:szCs w:val="24"/>
              </w:rPr>
              <w:t>100,0</w:t>
            </w:r>
          </w:p>
        </w:tc>
        <w:tc>
          <w:tcPr>
            <w:tcW w:w="1809" w:type="dxa"/>
          </w:tcPr>
          <w:p w:rsidR="00515031" w:rsidRDefault="00515031" w:rsidP="007E42E4">
            <w:pPr>
              <w:jc w:val="center"/>
              <w:rPr>
                <w:sz w:val="24"/>
                <w:szCs w:val="24"/>
              </w:rPr>
            </w:pPr>
            <w:r>
              <w:rPr>
                <w:sz w:val="24"/>
                <w:szCs w:val="24"/>
              </w:rPr>
              <w:t>100,0</w:t>
            </w:r>
          </w:p>
        </w:tc>
      </w:tr>
    </w:tbl>
    <w:p w:rsidR="00515031" w:rsidRDefault="00515031" w:rsidP="00515031">
      <w:pPr>
        <w:rPr>
          <w:sz w:val="24"/>
          <w:szCs w:val="24"/>
        </w:rPr>
      </w:pPr>
      <w:r>
        <w:rPr>
          <w:sz w:val="24"/>
          <w:szCs w:val="24"/>
        </w:rPr>
        <w:t>Izvor: Ministarstvo financija</w:t>
      </w:r>
    </w:p>
    <w:p w:rsidR="00515031" w:rsidRDefault="00515031" w:rsidP="00515031">
      <w:pPr>
        <w:rPr>
          <w:sz w:val="24"/>
          <w:szCs w:val="24"/>
        </w:rPr>
      </w:pPr>
    </w:p>
    <w:p w:rsidR="00761BBB" w:rsidRPr="00F960B6" w:rsidRDefault="00761BBB" w:rsidP="00F960B6">
      <w:pPr>
        <w:pStyle w:val="Odlomakpopisa"/>
        <w:rPr>
          <w:rFonts w:ascii="Times New Roman" w:hAnsi="Times New Roman" w:cs="Times New Roman"/>
          <w:sz w:val="24"/>
        </w:rPr>
      </w:pPr>
    </w:p>
    <w:p w:rsidR="00761BBB" w:rsidRPr="00F960B6" w:rsidRDefault="00761BBB">
      <w:pPr>
        <w:rPr>
          <w:rFonts w:ascii="Times New Roman" w:hAnsi="Times New Roman" w:cs="Times New Roman"/>
          <w:sz w:val="24"/>
        </w:rPr>
      </w:pPr>
      <w:r w:rsidRPr="00F960B6">
        <w:rPr>
          <w:rFonts w:ascii="Times New Roman" w:hAnsi="Times New Roman" w:cs="Times New Roman"/>
          <w:sz w:val="24"/>
        </w:rPr>
        <w:br w:type="page"/>
      </w:r>
    </w:p>
    <w:p w:rsidR="00761BBB" w:rsidRPr="00BA2872" w:rsidRDefault="00CD71D8" w:rsidP="00761BBB">
      <w:pPr>
        <w:pStyle w:val="Default"/>
        <w:numPr>
          <w:ilvl w:val="0"/>
          <w:numId w:val="1"/>
        </w:numPr>
        <w:rPr>
          <w:rFonts w:asciiTheme="minorHAnsi" w:hAnsiTheme="minorHAnsi" w:cstheme="minorHAnsi"/>
          <w:sz w:val="23"/>
          <w:szCs w:val="23"/>
        </w:rPr>
      </w:pPr>
      <w:r w:rsidRPr="00BA2872">
        <w:rPr>
          <w:rFonts w:asciiTheme="minorHAnsi" w:hAnsiTheme="minorHAnsi" w:cstheme="minorHAnsi"/>
          <w:b/>
        </w:rPr>
        <w:lastRenderedPageBreak/>
        <w:t xml:space="preserve">POKAZATELJI USPJEŠNOSTI PROVOĐENJA PROGRAMA </w:t>
      </w:r>
      <w:r w:rsidR="00761BBB" w:rsidRPr="00BA2872">
        <w:rPr>
          <w:rFonts w:asciiTheme="minorHAnsi" w:hAnsiTheme="minorHAnsi" w:cstheme="minorHAnsi"/>
          <w:b/>
        </w:rPr>
        <w:br/>
      </w:r>
      <w:r w:rsidR="00761BBB" w:rsidRPr="00BA2872">
        <w:rPr>
          <w:rFonts w:asciiTheme="minorHAnsi" w:hAnsiTheme="minorHAnsi" w:cstheme="minorHAnsi"/>
          <w:b/>
        </w:rPr>
        <w:br/>
      </w:r>
      <w:r w:rsidR="00761BBB" w:rsidRPr="00BA2872">
        <w:rPr>
          <w:rFonts w:asciiTheme="minorHAnsi" w:hAnsiTheme="minorHAnsi" w:cstheme="minorHAnsi"/>
          <w:sz w:val="23"/>
          <w:szCs w:val="23"/>
        </w:rPr>
        <w:t xml:space="preserve">Jedan od glavnih pokazatelja uspješnosti provođenja programa rezultati su koje učenici škole postižu na natjecanjima znanja, susreta i smotrama od županije preko regionalne do državne razine. </w:t>
      </w:r>
      <w:r w:rsidR="00761BBB" w:rsidRPr="00BA2872">
        <w:rPr>
          <w:rFonts w:asciiTheme="minorHAnsi" w:hAnsiTheme="minorHAnsi" w:cstheme="minorHAnsi"/>
          <w:sz w:val="23"/>
          <w:szCs w:val="23"/>
        </w:rPr>
        <w:br/>
        <w:t xml:space="preserve">Praćenje uspješnosti velikog broja učenika koji završavaju ovu školu s odličnim i vrlo dobrim uspjehom te upisuju željene srednje škole ukazuje na kvalitetan rad naših zaposlenika. </w:t>
      </w:r>
      <w:r w:rsidR="00761BBB" w:rsidRPr="00BA2872">
        <w:rPr>
          <w:rFonts w:asciiTheme="minorHAnsi" w:hAnsiTheme="minorHAnsi" w:cstheme="minorHAnsi"/>
          <w:sz w:val="23"/>
          <w:szCs w:val="23"/>
        </w:rPr>
        <w:br/>
        <w:t xml:space="preserve">Njegujemo stvaralaštvo i kreativnost i pružamo stručnu pomoć za što kvalitetniji osobni razvoj svakog učenika što pokazuje i uspjeh naših učenika. </w:t>
      </w:r>
      <w:r w:rsidR="007212EA" w:rsidRPr="00BA2872">
        <w:rPr>
          <w:rFonts w:asciiTheme="minorHAnsi" w:hAnsiTheme="minorHAnsi" w:cstheme="minorHAnsi"/>
          <w:sz w:val="23"/>
          <w:szCs w:val="23"/>
        </w:rPr>
        <w:br/>
      </w:r>
    </w:p>
    <w:p w:rsidR="007212EA" w:rsidRPr="00BA2872" w:rsidRDefault="007212EA" w:rsidP="007212EA">
      <w:pPr>
        <w:pStyle w:val="Default"/>
        <w:numPr>
          <w:ilvl w:val="0"/>
          <w:numId w:val="1"/>
        </w:numPr>
        <w:rPr>
          <w:rFonts w:asciiTheme="minorHAnsi" w:hAnsiTheme="minorHAnsi" w:cstheme="minorHAnsi"/>
          <w:sz w:val="23"/>
          <w:szCs w:val="23"/>
        </w:rPr>
      </w:pPr>
      <w:r w:rsidRPr="00BA2872">
        <w:rPr>
          <w:rFonts w:asciiTheme="minorHAnsi" w:hAnsiTheme="minorHAnsi" w:cstheme="minorHAnsi"/>
          <w:b/>
          <w:bCs/>
          <w:sz w:val="23"/>
          <w:szCs w:val="23"/>
        </w:rPr>
        <w:t xml:space="preserve">OBRAZLOŽENJE FINANCIJSKOG PLANA </w:t>
      </w:r>
      <w:r w:rsidRPr="00BA2872">
        <w:rPr>
          <w:rFonts w:asciiTheme="minorHAnsi" w:hAnsiTheme="minorHAnsi" w:cstheme="minorHAnsi"/>
          <w:b/>
          <w:bCs/>
          <w:sz w:val="23"/>
          <w:szCs w:val="23"/>
        </w:rPr>
        <w:br/>
      </w:r>
      <w:r w:rsidRPr="00BA2872">
        <w:rPr>
          <w:rFonts w:asciiTheme="minorHAnsi" w:hAnsiTheme="minorHAnsi" w:cstheme="minorHAnsi"/>
          <w:b/>
          <w:bCs/>
          <w:sz w:val="23"/>
          <w:szCs w:val="23"/>
        </w:rPr>
        <w:br/>
      </w:r>
      <w:r w:rsidRPr="00BA2872">
        <w:rPr>
          <w:rFonts w:asciiTheme="minorHAnsi" w:hAnsiTheme="minorHAnsi" w:cstheme="minorHAnsi"/>
          <w:sz w:val="23"/>
          <w:szCs w:val="23"/>
        </w:rPr>
        <w:t>Prihodi i primici kao i izdaci u 201</w:t>
      </w:r>
      <w:r w:rsidR="00BA2872" w:rsidRPr="00BA2872">
        <w:rPr>
          <w:rFonts w:asciiTheme="minorHAnsi" w:hAnsiTheme="minorHAnsi" w:cstheme="minorHAnsi"/>
          <w:sz w:val="23"/>
          <w:szCs w:val="23"/>
        </w:rPr>
        <w:t>8</w:t>
      </w:r>
      <w:r w:rsidRPr="00BA2872">
        <w:rPr>
          <w:rFonts w:asciiTheme="minorHAnsi" w:hAnsiTheme="minorHAnsi" w:cstheme="minorHAnsi"/>
          <w:sz w:val="23"/>
          <w:szCs w:val="23"/>
        </w:rPr>
        <w:t xml:space="preserve">. godini </w:t>
      </w:r>
      <w:r w:rsidR="00BA2872" w:rsidRPr="00BA2872">
        <w:rPr>
          <w:rFonts w:asciiTheme="minorHAnsi" w:hAnsiTheme="minorHAnsi" w:cstheme="minorHAnsi"/>
          <w:sz w:val="23"/>
          <w:szCs w:val="23"/>
        </w:rPr>
        <w:t>povećavaju se za oko 2%</w:t>
      </w:r>
      <w:r w:rsidR="00F960B6" w:rsidRPr="00BA2872">
        <w:rPr>
          <w:rFonts w:asciiTheme="minorHAnsi" w:hAnsiTheme="minorHAnsi" w:cstheme="minorHAnsi"/>
          <w:sz w:val="23"/>
          <w:szCs w:val="23"/>
        </w:rPr>
        <w:t xml:space="preserve"> u odnosu na 201</w:t>
      </w:r>
      <w:r w:rsidR="00BA2872" w:rsidRPr="00BA2872">
        <w:rPr>
          <w:rFonts w:asciiTheme="minorHAnsi" w:hAnsiTheme="minorHAnsi" w:cstheme="minorHAnsi"/>
          <w:sz w:val="23"/>
          <w:szCs w:val="23"/>
        </w:rPr>
        <w:t>7</w:t>
      </w:r>
      <w:r w:rsidRPr="00BA2872">
        <w:rPr>
          <w:rFonts w:asciiTheme="minorHAnsi" w:hAnsiTheme="minorHAnsi" w:cstheme="minorHAnsi"/>
          <w:sz w:val="23"/>
          <w:szCs w:val="23"/>
        </w:rPr>
        <w:t xml:space="preserve">. Godinu u skladu s Uputama za izradu Proračuna </w:t>
      </w:r>
      <w:r w:rsidR="00F960B6" w:rsidRPr="00BA2872">
        <w:rPr>
          <w:rFonts w:asciiTheme="minorHAnsi" w:hAnsiTheme="minorHAnsi" w:cstheme="minorHAnsi"/>
          <w:sz w:val="23"/>
          <w:szCs w:val="23"/>
        </w:rPr>
        <w:t>Županije Osječko baranjske za razdoblje 201</w:t>
      </w:r>
      <w:r w:rsidR="00BA2872" w:rsidRPr="00BA2872">
        <w:rPr>
          <w:rFonts w:asciiTheme="minorHAnsi" w:hAnsiTheme="minorHAnsi" w:cstheme="minorHAnsi"/>
          <w:sz w:val="23"/>
          <w:szCs w:val="23"/>
        </w:rPr>
        <w:t>8./2020</w:t>
      </w:r>
      <w:r w:rsidRPr="00BA2872">
        <w:rPr>
          <w:rFonts w:asciiTheme="minorHAnsi" w:hAnsiTheme="minorHAnsi" w:cstheme="minorHAnsi"/>
          <w:sz w:val="23"/>
          <w:szCs w:val="23"/>
        </w:rPr>
        <w:t xml:space="preserve">. </w:t>
      </w:r>
      <w:r w:rsidR="00F960B6" w:rsidRPr="00BA2872">
        <w:rPr>
          <w:rFonts w:asciiTheme="minorHAnsi" w:hAnsiTheme="minorHAnsi" w:cstheme="minorHAnsi"/>
          <w:sz w:val="23"/>
          <w:szCs w:val="23"/>
        </w:rPr>
        <w:br/>
      </w:r>
      <w:r w:rsidRPr="00BA2872">
        <w:rPr>
          <w:rFonts w:asciiTheme="minorHAnsi" w:hAnsiTheme="minorHAnsi" w:cstheme="minorHAnsi"/>
          <w:sz w:val="23"/>
          <w:szCs w:val="23"/>
        </w:rPr>
        <w:t xml:space="preserve">Prihodi za financiranje rashoda planirani su primjenom financijskih pokazatelja iz uputa za izradu proračuna što znači da smo primijenili zadane indekse. </w:t>
      </w:r>
      <w:r w:rsidR="00F960B6" w:rsidRPr="00BA2872">
        <w:rPr>
          <w:rFonts w:asciiTheme="minorHAnsi" w:hAnsiTheme="minorHAnsi" w:cstheme="minorHAnsi"/>
          <w:sz w:val="23"/>
          <w:szCs w:val="23"/>
        </w:rPr>
        <w:br/>
      </w:r>
      <w:r w:rsidRPr="00BA2872">
        <w:rPr>
          <w:rFonts w:asciiTheme="minorHAnsi" w:hAnsiTheme="minorHAnsi" w:cstheme="minorHAnsi"/>
          <w:sz w:val="23"/>
          <w:szCs w:val="23"/>
        </w:rPr>
        <w:t>Od tako dobivenih vrijednosti prihoda predvidjeli smo namjenske rashode koji se planiraju na osnovi potrošnje tekuće godine, tj. troškovi energije, rashod za zdravstveni pregled zaposlenika, prijevoz učenika, usluge tekućeg održavanja građevinskog objekata, postrojenja i opreme, komunalne naknade i pedagoš</w:t>
      </w:r>
      <w:r w:rsidR="00F960B6" w:rsidRPr="00BA2872">
        <w:rPr>
          <w:rFonts w:asciiTheme="minorHAnsi" w:hAnsiTheme="minorHAnsi" w:cstheme="minorHAnsi"/>
          <w:sz w:val="23"/>
          <w:szCs w:val="23"/>
        </w:rPr>
        <w:t xml:space="preserve">ku dokumentaciju. </w:t>
      </w:r>
      <w:r w:rsidR="00F960B6" w:rsidRPr="00BA2872">
        <w:rPr>
          <w:rFonts w:asciiTheme="minorHAnsi" w:hAnsiTheme="minorHAnsi" w:cstheme="minorHAnsi"/>
          <w:sz w:val="23"/>
          <w:szCs w:val="23"/>
        </w:rPr>
        <w:br/>
      </w:r>
      <w:r w:rsidRPr="00BA2872">
        <w:rPr>
          <w:rFonts w:asciiTheme="minorHAnsi" w:hAnsiTheme="minorHAnsi" w:cstheme="minorHAnsi"/>
          <w:sz w:val="23"/>
          <w:szCs w:val="23"/>
        </w:rPr>
        <w:t xml:space="preserve">Kao rashodi iz kategorije općih troškova planirani rashodi za komunalne usluge, rashodi za telefon, bankarske usluge i usluge platnog prometa te obveznu pedagošku dokumentaciju i materijal. Potom su planirani i ostali troškovi prema prioritetima funkcioniranja škole. </w:t>
      </w:r>
    </w:p>
    <w:p w:rsidR="007212EA" w:rsidRPr="00BA2872" w:rsidRDefault="007212EA" w:rsidP="00F960B6">
      <w:pPr>
        <w:pStyle w:val="Default"/>
        <w:ind w:left="720"/>
        <w:rPr>
          <w:rFonts w:asciiTheme="minorHAnsi" w:hAnsiTheme="minorHAnsi" w:cstheme="minorHAnsi"/>
          <w:sz w:val="23"/>
          <w:szCs w:val="23"/>
        </w:rPr>
      </w:pPr>
      <w:r w:rsidRPr="00BA2872">
        <w:rPr>
          <w:rFonts w:asciiTheme="minorHAnsi" w:hAnsiTheme="minorHAnsi" w:cstheme="minorHAnsi"/>
          <w:sz w:val="23"/>
          <w:szCs w:val="23"/>
        </w:rPr>
        <w:t>Vlastite prihode čine prihodi iznajmljivanja</w:t>
      </w:r>
      <w:r w:rsidR="00F960B6" w:rsidRPr="00BA2872">
        <w:rPr>
          <w:rFonts w:asciiTheme="minorHAnsi" w:hAnsiTheme="minorHAnsi" w:cstheme="minorHAnsi"/>
          <w:sz w:val="23"/>
          <w:szCs w:val="23"/>
        </w:rPr>
        <w:t xml:space="preserve"> prostora</w:t>
      </w:r>
      <w:r w:rsidRPr="00BA2872">
        <w:rPr>
          <w:rFonts w:asciiTheme="minorHAnsi" w:hAnsiTheme="minorHAnsi" w:cstheme="minorHAnsi"/>
          <w:sz w:val="23"/>
          <w:szCs w:val="23"/>
        </w:rPr>
        <w:t xml:space="preserve">. Prihodi se koriste prvenstveno za </w:t>
      </w:r>
      <w:r w:rsidR="005F21B6">
        <w:rPr>
          <w:rFonts w:asciiTheme="minorHAnsi" w:hAnsiTheme="minorHAnsi" w:cstheme="minorHAnsi"/>
          <w:sz w:val="23"/>
          <w:szCs w:val="23"/>
        </w:rPr>
        <w:t xml:space="preserve">troškove </w:t>
      </w:r>
      <w:r w:rsidRPr="00BA2872">
        <w:rPr>
          <w:rFonts w:asciiTheme="minorHAnsi" w:hAnsiTheme="minorHAnsi" w:cstheme="minorHAnsi"/>
          <w:sz w:val="23"/>
          <w:szCs w:val="23"/>
        </w:rPr>
        <w:t>redovitog poslovanja, minimalni standard, te financiranje aktivnosti iz Godišnjeg plana i programa rada škole.</w:t>
      </w:r>
    </w:p>
    <w:p w:rsidR="007212EA" w:rsidRPr="00BA2872" w:rsidRDefault="007212EA" w:rsidP="007212EA">
      <w:pPr>
        <w:pStyle w:val="Default"/>
        <w:ind w:left="720"/>
        <w:rPr>
          <w:rFonts w:asciiTheme="minorHAnsi" w:hAnsiTheme="minorHAnsi" w:cstheme="minorHAnsi"/>
        </w:rPr>
      </w:pPr>
    </w:p>
    <w:p w:rsidR="00761BBB" w:rsidRPr="00BA2872" w:rsidRDefault="00761BBB" w:rsidP="007212EA">
      <w:pPr>
        <w:pStyle w:val="Odlomakpopisa"/>
        <w:rPr>
          <w:rFonts w:cstheme="minorHAnsi"/>
          <w:b/>
          <w:sz w:val="24"/>
        </w:rPr>
      </w:pPr>
    </w:p>
    <w:p w:rsidR="00703FED" w:rsidRPr="00BA2872" w:rsidRDefault="00703FED" w:rsidP="007212EA">
      <w:pPr>
        <w:pStyle w:val="Odlomakpopisa"/>
        <w:rPr>
          <w:rFonts w:cstheme="minorHAnsi"/>
          <w:b/>
          <w:sz w:val="24"/>
        </w:rPr>
      </w:pPr>
    </w:p>
    <w:p w:rsidR="00703FED" w:rsidRPr="00BA2872" w:rsidRDefault="00703FED" w:rsidP="007212EA">
      <w:pPr>
        <w:pStyle w:val="Odlomakpopisa"/>
        <w:rPr>
          <w:rFonts w:cstheme="minorHAnsi"/>
          <w:b/>
          <w:sz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4"/>
        <w:gridCol w:w="3306"/>
      </w:tblGrid>
      <w:tr w:rsidR="00703FED" w:rsidRPr="00BA2872" w:rsidTr="00D26254">
        <w:tc>
          <w:tcPr>
            <w:tcW w:w="5920" w:type="dxa"/>
          </w:tcPr>
          <w:p w:rsidR="00703FED" w:rsidRPr="00BA2872" w:rsidRDefault="00703FED" w:rsidP="00D26254">
            <w:pPr>
              <w:rPr>
                <w:rFonts w:cstheme="minorHAnsi"/>
              </w:rPr>
            </w:pPr>
          </w:p>
        </w:tc>
        <w:tc>
          <w:tcPr>
            <w:tcW w:w="3368" w:type="dxa"/>
          </w:tcPr>
          <w:p w:rsidR="00703FED" w:rsidRPr="00BA2872" w:rsidRDefault="00703FED" w:rsidP="00D26254">
            <w:pPr>
              <w:jc w:val="center"/>
              <w:rPr>
                <w:rFonts w:cstheme="minorHAnsi"/>
              </w:rPr>
            </w:pPr>
            <w:r w:rsidRPr="00BA2872">
              <w:rPr>
                <w:rFonts w:cstheme="minorHAnsi"/>
              </w:rPr>
              <w:t>Ravnatelj:</w:t>
            </w:r>
          </w:p>
        </w:tc>
      </w:tr>
      <w:tr w:rsidR="00703FED" w:rsidRPr="00BA2872" w:rsidTr="00D26254">
        <w:tc>
          <w:tcPr>
            <w:tcW w:w="5920" w:type="dxa"/>
          </w:tcPr>
          <w:p w:rsidR="00703FED" w:rsidRPr="00BA2872" w:rsidRDefault="00703FED" w:rsidP="00D26254">
            <w:pPr>
              <w:rPr>
                <w:rFonts w:cstheme="minorHAnsi"/>
              </w:rPr>
            </w:pPr>
          </w:p>
        </w:tc>
        <w:tc>
          <w:tcPr>
            <w:tcW w:w="3368" w:type="dxa"/>
          </w:tcPr>
          <w:p w:rsidR="00703FED" w:rsidRPr="00BA2872" w:rsidRDefault="00703FED" w:rsidP="00D26254">
            <w:pPr>
              <w:jc w:val="center"/>
              <w:rPr>
                <w:rFonts w:cstheme="minorHAnsi"/>
              </w:rPr>
            </w:pPr>
            <w:r w:rsidRPr="00BA2872">
              <w:rPr>
                <w:rFonts w:cstheme="minorHAnsi"/>
              </w:rPr>
              <w:t>Andrija Šušak, prof.</w:t>
            </w:r>
          </w:p>
        </w:tc>
      </w:tr>
    </w:tbl>
    <w:p w:rsidR="00761BBB" w:rsidRPr="00BA2872" w:rsidRDefault="00761BBB" w:rsidP="00761BBB">
      <w:pPr>
        <w:pStyle w:val="Default"/>
        <w:ind w:left="720"/>
        <w:rPr>
          <w:rFonts w:asciiTheme="minorHAnsi" w:hAnsiTheme="minorHAnsi" w:cstheme="minorHAnsi"/>
        </w:rPr>
      </w:pPr>
    </w:p>
    <w:p w:rsidR="0017387A" w:rsidRPr="00BA2872" w:rsidRDefault="0017387A" w:rsidP="00761BBB">
      <w:pPr>
        <w:pStyle w:val="Odlomakpopisa"/>
        <w:rPr>
          <w:rFonts w:cstheme="minorHAnsi"/>
          <w:sz w:val="24"/>
        </w:rPr>
      </w:pPr>
    </w:p>
    <w:p w:rsidR="0017387A" w:rsidRPr="00BA2872" w:rsidRDefault="0017387A" w:rsidP="0017387A">
      <w:pPr>
        <w:pStyle w:val="Odlomakpopisa"/>
        <w:rPr>
          <w:rFonts w:cstheme="minorHAnsi"/>
          <w:sz w:val="24"/>
        </w:rPr>
      </w:pPr>
    </w:p>
    <w:p w:rsidR="0040433E" w:rsidRPr="00F960B6" w:rsidRDefault="0040433E" w:rsidP="007A57F4">
      <w:pPr>
        <w:pStyle w:val="Odlomakpopisa"/>
        <w:rPr>
          <w:rFonts w:ascii="Times New Roman" w:hAnsi="Times New Roman" w:cs="Times New Roman"/>
        </w:rPr>
      </w:pPr>
    </w:p>
    <w:p w:rsidR="0089061A" w:rsidRPr="00F960B6" w:rsidRDefault="0089061A" w:rsidP="0089061A">
      <w:pPr>
        <w:rPr>
          <w:rFonts w:ascii="Times New Roman" w:hAnsi="Times New Roman" w:cs="Times New Roman"/>
        </w:rPr>
      </w:pPr>
    </w:p>
    <w:sectPr w:rsidR="0089061A" w:rsidRPr="00F960B6" w:rsidSect="00F8434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E04E2"/>
    <w:multiLevelType w:val="hybridMultilevel"/>
    <w:tmpl w:val="424CE95A"/>
    <w:lvl w:ilvl="0" w:tplc="041A000F">
      <w:start w:val="1"/>
      <w:numFmt w:val="decimal"/>
      <w:lvlText w:val="%1."/>
      <w:lvlJc w:val="left"/>
      <w:pPr>
        <w:ind w:left="720" w:hanging="360"/>
      </w:pPr>
    </w:lvl>
    <w:lvl w:ilvl="1" w:tplc="6DCA43F2">
      <w:start w:val="2121"/>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E06B11"/>
    <w:multiLevelType w:val="hybridMultilevel"/>
    <w:tmpl w:val="77267B62"/>
    <w:lvl w:ilvl="0" w:tplc="041A000F">
      <w:start w:val="1"/>
      <w:numFmt w:val="decimal"/>
      <w:lvlText w:val="%1."/>
      <w:lvlJc w:val="left"/>
      <w:pPr>
        <w:ind w:left="720" w:hanging="360"/>
      </w:pPr>
    </w:lvl>
    <w:lvl w:ilvl="1" w:tplc="6DCA43F2">
      <w:start w:val="2121"/>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AD24220"/>
    <w:multiLevelType w:val="hybridMultilevel"/>
    <w:tmpl w:val="16D2EFBC"/>
    <w:lvl w:ilvl="0" w:tplc="041A000F">
      <w:start w:val="1"/>
      <w:numFmt w:val="decimal"/>
      <w:lvlText w:val="%1."/>
      <w:lvlJc w:val="left"/>
      <w:pPr>
        <w:ind w:left="720" w:hanging="360"/>
      </w:pPr>
    </w:lvl>
    <w:lvl w:ilvl="1" w:tplc="6DCA43F2">
      <w:start w:val="2121"/>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6A82C08"/>
    <w:multiLevelType w:val="hybridMultilevel"/>
    <w:tmpl w:val="A1C8EE1A"/>
    <w:lvl w:ilvl="0" w:tplc="2A9C2FF2">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18F503B"/>
    <w:multiLevelType w:val="hybridMultilevel"/>
    <w:tmpl w:val="7A740EFE"/>
    <w:lvl w:ilvl="0" w:tplc="041A000F">
      <w:start w:val="1"/>
      <w:numFmt w:val="decimal"/>
      <w:lvlText w:val="%1."/>
      <w:lvlJc w:val="left"/>
      <w:pPr>
        <w:ind w:left="720" w:hanging="360"/>
      </w:pPr>
    </w:lvl>
    <w:lvl w:ilvl="1" w:tplc="6DCA43F2">
      <w:start w:val="2121"/>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52"/>
    <w:rsid w:val="00022F71"/>
    <w:rsid w:val="000C170D"/>
    <w:rsid w:val="000D7EC9"/>
    <w:rsid w:val="000F03A2"/>
    <w:rsid w:val="001356EB"/>
    <w:rsid w:val="001624AC"/>
    <w:rsid w:val="0017387A"/>
    <w:rsid w:val="001E698B"/>
    <w:rsid w:val="00250B0F"/>
    <w:rsid w:val="00276827"/>
    <w:rsid w:val="00292B4C"/>
    <w:rsid w:val="002B2870"/>
    <w:rsid w:val="00317258"/>
    <w:rsid w:val="00323865"/>
    <w:rsid w:val="003B6A0C"/>
    <w:rsid w:val="0040023B"/>
    <w:rsid w:val="0040433E"/>
    <w:rsid w:val="00480641"/>
    <w:rsid w:val="004F0AC9"/>
    <w:rsid w:val="00515031"/>
    <w:rsid w:val="00580819"/>
    <w:rsid w:val="005C7B7E"/>
    <w:rsid w:val="005F21B6"/>
    <w:rsid w:val="00600737"/>
    <w:rsid w:val="00682E0E"/>
    <w:rsid w:val="006B2524"/>
    <w:rsid w:val="006F50B9"/>
    <w:rsid w:val="00703FED"/>
    <w:rsid w:val="00710C9E"/>
    <w:rsid w:val="007212EA"/>
    <w:rsid w:val="00761BBB"/>
    <w:rsid w:val="00767B29"/>
    <w:rsid w:val="007A57F4"/>
    <w:rsid w:val="007B1C9D"/>
    <w:rsid w:val="0089061A"/>
    <w:rsid w:val="00895D36"/>
    <w:rsid w:val="008E5FFD"/>
    <w:rsid w:val="009032AB"/>
    <w:rsid w:val="009B0429"/>
    <w:rsid w:val="00A12212"/>
    <w:rsid w:val="00A7199C"/>
    <w:rsid w:val="00B07345"/>
    <w:rsid w:val="00B166B5"/>
    <w:rsid w:val="00B40802"/>
    <w:rsid w:val="00BA2872"/>
    <w:rsid w:val="00BC2C52"/>
    <w:rsid w:val="00BD0E4D"/>
    <w:rsid w:val="00C44B5D"/>
    <w:rsid w:val="00C46D89"/>
    <w:rsid w:val="00CB331A"/>
    <w:rsid w:val="00CD71D8"/>
    <w:rsid w:val="00E023E1"/>
    <w:rsid w:val="00EC18C1"/>
    <w:rsid w:val="00ED2EDF"/>
    <w:rsid w:val="00F516D4"/>
    <w:rsid w:val="00F8434C"/>
    <w:rsid w:val="00F960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27136-4E96-4C92-BD81-ECB1272C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5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C2C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250B0F"/>
    <w:pPr>
      <w:ind w:left="720"/>
      <w:contextualSpacing/>
    </w:pPr>
  </w:style>
  <w:style w:type="paragraph" w:customStyle="1" w:styleId="Default">
    <w:name w:val="Default"/>
    <w:rsid w:val="001738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9471D-6246-4EB2-A652-D71FC1E5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1380</Words>
  <Characters>7866</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korisnik</cp:lastModifiedBy>
  <cp:revision>2</cp:revision>
  <cp:lastPrinted>2016-09-30T06:10:00Z</cp:lastPrinted>
  <dcterms:created xsi:type="dcterms:W3CDTF">2017-12-12T09:33:00Z</dcterms:created>
  <dcterms:modified xsi:type="dcterms:W3CDTF">2017-12-12T09:33:00Z</dcterms:modified>
</cp:coreProperties>
</file>